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Phiếu tổng quan tài liệu</w:t>
      </w:r>
    </w:p>
    <w:p>
      <w:pPr>
        <w:pStyle w:val="Subtitle"/>
      </w:pPr>
      <w:r>
        <w:t>Từ PICO đến chuỗi tìm kiếm, nhật ký tìm kiếm và ma trận bằng chứng</w:t>
      </w:r>
    </w:p>
    <w:p>
      <w:pPr>
        <w:pStyle w:val="NeudataSmall"/>
        <w:spacing w:after="160"/>
      </w:pPr>
      <w:r>
        <w:t>Nền tảng Nghiên cứu Lâm sàng</w:t>
      </w:r>
      <w:r>
        <w:t xml:space="preserve">  ·  Buổi 2 (2.1–2.4; Phần 1 của đề cương)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154"/>
        <w:gridCol w:w="7257"/>
      </w:tblGrid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Họ tên: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[Họ tên của bạn]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Câu hỏi nghiên cứu: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[Chép từ mục 1.4 của đề cương]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Ngày: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[DD/MM/YYYY]</w:t>
            </w:r>
          </w:p>
        </w:tc>
      </w:tr>
    </w:tbl>
    <w:p>
      <w:pPr>
        <w:spacing w:after="0" w:line="80" w:lineRule="exact"/>
      </w:pPr>
    </w:p>
    <w:p>
      <w:pPr>
        <w:pStyle w:val="Heading1"/>
      </w:pPr>
      <w:r>
        <w:t>Bước 1  Từ PICO đến từ khóa tìm kiếm</w:t>
      </w:r>
    </w:p>
    <w:p>
      <w:pPr>
        <w:pStyle w:val="Guidance"/>
      </w:pPr>
      <w:r>
        <w:rPr>
          <w:i/>
        </w:rPr>
        <w:t>Tìm kiếm theo P, I (hoặc phơi nhiễm) và O; C thường không đưa vào tìm kiếm. Với mỗi khái niệm, liệt kê từ đồng nghĩa và các cách viết khác (từ tự do, tìm trong tiêu đề/tóm tắt [tiab]) VÀ thuật ngữ trong bộ từ vựng chuẩn (MeSH trên PubMed). Kết hợp các từ TRONG một khái niệm bằng OR; kết hợp các khái niệm bằng AND. Từ khóa tìm kiếm viết bằng tiếng Anh.</w:t>
      </w:r>
    </w:p>
    <w:p>
      <w:pPr>
        <w:pStyle w:val="Heading3"/>
      </w:pPr>
      <w:r>
        <w:t>Ví dụ minh họa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1814"/>
        <w:gridCol w:w="3742"/>
        <w:gridCol w:w="3402"/>
      </w:tblGrid>
      <w:tr>
        <w:trPr>
          <w:cantSplit w:val="true"/>
          <w:tblHeader w:val="true"/>
        </w:trPr>
        <w:tc>
          <w:tcPr>
            <w:tcW w:type="dxa" w:w="45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</w:p>
        </w:tc>
        <w:tc>
          <w:tcPr>
            <w:tcW w:type="dxa" w:w="181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Khái niệm</w:t>
            </w:r>
          </w:p>
        </w:tc>
        <w:tc>
          <w:tcPr>
            <w:tcW w:type="dxa" w:w="374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Từ đồng nghĩa / từ tự do  [tiab]</w:t>
            </w:r>
          </w:p>
        </w:tc>
        <w:tc>
          <w:tcPr>
            <w:tcW w:type="dxa" w:w="340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Thuật ngữ MeSH  [Mesh]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P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Sốc nhiễm khuẩn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“septic shock”, sepsis, “severe sepsis”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“Shock, Septic”, “Sepsis”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I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Truyền dịch hạn chế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“fluid restriction”, restrictive, “fluid balance”, “conservative fluid*”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“Fluid Therapy”, “Water-Electrolyte Balance”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C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Chăm sóc thường quy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(thường không tìm kiếm)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Không tìm kiếm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O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Tử vong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mortality, death, survival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“Mortality”, “Hospital Mortality”</w:t>
            </w:r>
          </w:p>
        </w:tc>
      </w:tr>
    </w:tbl>
    <w:p>
      <w:pPr>
        <w:spacing w:after="0" w:line="80" w:lineRule="exact"/>
      </w:pPr>
    </w:p>
    <w:p>
      <w:pPr>
        <w:pStyle w:val="Example"/>
      </w:pPr>
      <w:r>
        <w:rPr>
          <w:b/>
          <w:i w:val="0"/>
          <w:color w:val="055F56"/>
        </w:rPr>
        <w:t xml:space="preserve">Ví dụ chuỗi tìm kiếm: </w:t>
      </w:r>
      <w:r>
        <w:rPr>
          <w:i/>
        </w:rPr>
        <w:t>(“Shock, Septic”[Mesh] OR “septic shock”[tiab] OR sepsis[tiab]) AND (“Fluid Therapy”[Mesh] OR “fluid restriction”[tiab] OR restrictive[tiab] OR “fluid balance”[tiab]) AND (mortality[tiab] OR death[tiab] OR “Mortality”[Mesh])</w:t>
      </w:r>
    </w:p>
    <w:p>
      <w:pPr>
        <w:pStyle w:val="Heading3"/>
      </w:pPr>
      <w:r>
        <w:t>Từ khóa tìm kiếm của chúng tôi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850"/>
        <w:gridCol w:w="1757"/>
        <w:gridCol w:w="3515"/>
        <w:gridCol w:w="3288"/>
      </w:tblGrid>
      <w:tr>
        <w:trPr>
          <w:cantSplit w:val="true"/>
          <w:tblHeader w:val="true"/>
        </w:trPr>
        <w:tc>
          <w:tcPr>
            <w:tcW w:type="dxa" w:w="85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</w:p>
        </w:tc>
        <w:tc>
          <w:tcPr>
            <w:tcW w:type="dxa" w:w="175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Khái niệm</w:t>
            </w:r>
          </w:p>
        </w:tc>
        <w:tc>
          <w:tcPr>
            <w:tcW w:type="dxa" w:w="351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Từ đồng nghĩa / từ tự do  [tiab]</w:t>
            </w:r>
          </w:p>
        </w:tc>
        <w:tc>
          <w:tcPr>
            <w:tcW w:type="dxa" w:w="328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Thuật ngữ MeSH  [Mesh]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P</w:t>
            </w:r>
          </w:p>
        </w:tc>
        <w:tc>
          <w:tcPr>
            <w:tcW w:type="dxa" w:w="17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[Khái niệm]</w:t>
            </w:r>
          </w:p>
        </w:tc>
        <w:tc>
          <w:tcPr>
            <w:tcW w:type="dxa" w:w="35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[từ OR từ OR từ]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[MeSH]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I / E</w:t>
            </w:r>
          </w:p>
        </w:tc>
        <w:tc>
          <w:tcPr>
            <w:tcW w:type="dxa" w:w="17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[Khái niệm]</w:t>
            </w:r>
          </w:p>
        </w:tc>
        <w:tc>
          <w:tcPr>
            <w:tcW w:type="dxa" w:w="35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[từ OR từ OR từ]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[MeSH]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C</w:t>
            </w:r>
          </w:p>
        </w:tc>
        <w:tc>
          <w:tcPr>
            <w:tcW w:type="dxa" w:w="17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[Khái niệm]</w:t>
            </w:r>
          </w:p>
        </w:tc>
        <w:tc>
          <w:tcPr>
            <w:tcW w:type="dxa" w:w="35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[không bắt buộc]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[MeSH]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O</w:t>
            </w:r>
          </w:p>
        </w:tc>
        <w:tc>
          <w:tcPr>
            <w:tcW w:type="dxa" w:w="17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[Khái niệm]</w:t>
            </w:r>
          </w:p>
        </w:tc>
        <w:tc>
          <w:tcPr>
            <w:tcW w:type="dxa" w:w="35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[từ OR từ OR từ]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[MeSH]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Thiết kế</w:t>
            </w:r>
          </w:p>
        </w:tc>
        <w:tc>
          <w:tcPr>
            <w:tcW w:type="dxa" w:w="17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[bộ lọc không bắt buộc]</w:t>
            </w:r>
          </w:p>
        </w:tc>
        <w:tc>
          <w:tcPr>
            <w:tcW w:type="dxa" w:w="35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[ví dụ randomized controlled trial[pt], cohort]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[ví dụ Cohort Studies]</w:t>
            </w:r>
          </w:p>
        </w:tc>
      </w:tr>
    </w:tbl>
    <w:p>
      <w:pPr>
        <w:spacing w:after="0" w:line="80" w:lineRule="exact"/>
      </w:pPr>
    </w:p>
    <w:p>
      <w:r>
        <w:rPr>
          <w:b/>
          <w:color w:val="04242F"/>
        </w:rPr>
        <w:t>Chuỗi tìm kiếm của chúng tôi: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907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[(từ khóa P) AND (từ khóa I) AND (từ khóa O)]</w:t>
            </w:r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CellMar>
          <w:top w:w="100" w:type="dxa"/>
          <w:left w:w="180" w:type="dxa"/>
          <w:bottom w:w="100" w:type="dxa"/>
          <w:right w:w="16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cantSplit w:val="true"/>
        </w:trPr>
        <w:tc>
          <w:tcPr>
            <w:tcW w:type="dxa" w:w="9411"/>
            <w:tcBorders>
              <w:top w:val="single" w:sz="4" w:color="EAF2F5"/>
              <w:left w:val="single" w:sz="24" w:color="055F56"/>
              <w:bottom w:val="single" w:sz="4" w:color="EAF2F5"/>
              <w:right w:val="single" w:sz="4" w:color="EAF2F5"/>
            </w:tcBorders>
            <w:shd w:val="clear" w:color="auto" w:fill="EAF2F5"/>
          </w:tcPr>
          <w:p>
            <w:pPr>
              <w:spacing w:after="60"/>
            </w:pPr>
            <w:r>
              <w:rPr>
                <w:rFonts w:ascii="Arial" w:hAnsi="Arial" w:cs="Arial" w:eastAsia="Arial"/>
                <w:b/>
                <w:color w:val="055F56"/>
                <w:sz w:val="20"/>
              </w:rPr>
              <w:t>Toán tử Boolean và mẹo tìm kiếm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b/>
                <w:color w:val="04242F"/>
                <w:sz w:val="18"/>
              </w:rPr>
              <w:t>AND</w:t>
            </w:r>
            <w:r>
              <w:rPr>
                <w:sz w:val="18"/>
              </w:rPr>
              <w:t xml:space="preserve"> thu hẹp (mọi khái niệm phải xuất hiện). </w:t>
            </w:r>
            <w:r>
              <w:rPr>
                <w:b/>
                <w:color w:val="04242F"/>
                <w:sz w:val="18"/>
              </w:rPr>
              <w:t>OR</w:t>
            </w:r>
            <w:r>
              <w:rPr>
                <w:sz w:val="18"/>
              </w:rPr>
              <w:t xml:space="preserve"> mở rộng (bất kỳ từ đồng nghĩa nào). </w:t>
            </w:r>
            <w:r>
              <w:rPr>
                <w:b/>
                <w:color w:val="04242F"/>
                <w:sz w:val="18"/>
              </w:rPr>
              <w:t>NOT</w:t>
            </w:r>
            <w:r>
              <w:rPr>
                <w:sz w:val="18"/>
              </w:rPr>
              <w:t xml:space="preserve"> loại trừ. Hạn chế dùng, vì có thể loại mất các bài liên quan.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"Dấu ngoặc kép" tìm chính xác một cụm từ; dấu sao cắt cụt từ (fluid* = fluid, fluids, fluidic). Dấu ngoặc đơn nhóm các từ OR của mỗi khái niệm.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Bộ lọc (thời gian, loài = Humans, loại bài) được áp dụng sau khi xây dựng chuỗi tìm kiếm. Ghi lại trong nhật ký tìm kiếm.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PubMed tìm thuật ngữ MeSH qua MeSH Database; Google Scholar hữu ích để xem nhanh nhưng không lặp lại được. Luôn làm tìm kiếm chính trên PubMed (hoặc một cơ sở dữ liệu thư mục khác).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Lưu tài liệu tham khảo vào phần mềm quản lý tài liệu (ví dụ Zotero, miễn phí) ngay từ đầu.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Bước 2  Nhật ký tìm kiếm</w:t>
      </w:r>
    </w:p>
    <w:p>
      <w:pPr>
        <w:pStyle w:val="Guidance"/>
      </w:pPr>
      <w:r>
        <w:rPr>
          <w:i/>
        </w:rPr>
        <w:t>Ghi lại mọi lần tìm kiếm để có thể lặp lại và báo cáo. "Giữ lại" = các bài vẫn liên quan sau khi đọc tiêu đề và tóm tắt.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396"/>
        <w:gridCol w:w="1247"/>
        <w:gridCol w:w="1247"/>
        <w:gridCol w:w="3061"/>
        <w:gridCol w:w="1701"/>
        <w:gridCol w:w="850"/>
        <w:gridCol w:w="907"/>
      </w:tblGrid>
      <w:tr>
        <w:trPr>
          <w:cantSplit w:val="true"/>
          <w:tblHeader w:val="true"/>
        </w:trPr>
        <w:tc>
          <w:tcPr>
            <w:tcW w:type="dxa" w:w="39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24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Cơ sở dữ liệu</w:t>
            </w:r>
          </w:p>
        </w:tc>
        <w:tc>
          <w:tcPr>
            <w:tcW w:type="dxa" w:w="124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Ngày</w:t>
            </w:r>
          </w:p>
        </w:tc>
        <w:tc>
          <w:tcPr>
            <w:tcW w:type="dxa" w:w="30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Chuỗi tìm kiếm (hoặc số dòng)</w:t>
            </w:r>
          </w:p>
        </w:tc>
        <w:tc>
          <w:tcPr>
            <w:tcW w:type="dxa" w:w="170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Bộ lọc</w:t>
            </w:r>
          </w:p>
        </w:tc>
        <w:tc>
          <w:tcPr>
            <w:tcW w:type="dxa" w:w="85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Số kết quả</w:t>
            </w:r>
          </w:p>
        </w:tc>
        <w:tc>
          <w:tcPr>
            <w:tcW w:type="dxa" w:w="90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Giữ lại</w:t>
            </w:r>
          </w:p>
        </w:tc>
      </w:tr>
      <w:tr>
        <w:trPr>
          <w:cantSplit w:val="true"/>
          <w:trHeight w:val="510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1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PubMed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DD/MM/YYYY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Chuỗi ví dụ ở trên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Humans; 10 năm gần đây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n</w:t>
            </w: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n</w:t>
            </w:r>
          </w:p>
        </w:tc>
      </w:tr>
      <w:tr>
        <w:trPr>
          <w:cantSplit w:val="true"/>
          <w:trHeight w:val="510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2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[Cơ sở dữ liệu]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[Ngày]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[Chuỗi tìm kiếm]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[Bộ lọc]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</w:p>
        </w:tc>
      </w:tr>
      <w:tr>
        <w:trPr>
          <w:cantSplit w:val="true"/>
          <w:trHeight w:val="510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3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[Cơ sở dữ liệu]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[Ngày]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[Chuỗi tìm kiếm]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[Bộ lọc]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</w:p>
        </w:tc>
      </w:tr>
      <w:tr>
        <w:trPr>
          <w:cantSplit w:val="true"/>
          <w:trHeight w:val="510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4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[Cơ sở dữ liệu]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[Ngày]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[Chuỗi tìm kiếm]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[Bộ lọc]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</w:p>
        </w:tc>
      </w:tr>
      <w:tr>
        <w:trPr>
          <w:cantSplit w:val="true"/>
          <w:trHeight w:val="510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5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[Cơ sở dữ liệu]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[Ngày]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[Chuỗi tìm kiếm]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[Bộ lọc]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</w:tbl>
    <w:p>
      <w:pPr>
        <w:sectPr>
          <w:headerReference w:type="default" r:id="rId9"/>
          <w:footerReference w:type="default" r:id="rId10"/>
          <w:pgSz w:w="11906" w:h="16838"/>
          <w:pgMar w:top="1474" w:right="1247" w:bottom="1247" w:left="1247" w:header="567" w:footer="567" w:gutter="0"/>
          <w:cols w:space="720"/>
          <w:docGrid w:linePitch="360"/>
        </w:sectPr>
      </w:pPr>
    </w:p>
    <w:p>
      <w:pPr>
        <w:pStyle w:val="Heading1"/>
      </w:pPr>
      <w:r>
        <w:t>Bước 3  Ma trận bằng chứng</w:t>
      </w:r>
    </w:p>
    <w:p>
      <w:pPr>
        <w:pStyle w:val="Guidance"/>
      </w:pPr>
      <w:r>
        <w:rPr>
          <w:i/>
        </w:rPr>
        <w:t>Mỗi bài báo chính một dòng. Kết quả chính = độ lớn tác động kèm khoảng tin cậy 95% (ví dụ RR, OR, HR, chênh lệch trung bình), không chỉ giá trị p. Hai dòng đầu là ví dụ minh họa từ các bài báo của khóa học.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396"/>
        <w:gridCol w:w="1474"/>
        <w:gridCol w:w="1530"/>
        <w:gridCol w:w="2268"/>
        <w:gridCol w:w="963"/>
        <w:gridCol w:w="2835"/>
        <w:gridCol w:w="2438"/>
        <w:gridCol w:w="2438"/>
      </w:tblGrid>
      <w:tr>
        <w:trPr>
          <w:cantSplit w:val="true"/>
          <w:tblHeader w:val="true"/>
        </w:trPr>
        <w:tc>
          <w:tcPr>
            <w:tcW w:type="dxa" w:w="39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147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Tác giả, năm</w:t>
            </w:r>
          </w:p>
        </w:tc>
        <w:tc>
          <w:tcPr>
            <w:tcW w:type="dxa" w:w="153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Thiết kế</w:t>
            </w:r>
          </w:p>
        </w:tc>
        <w:tc>
          <w:tcPr>
            <w:tcW w:type="dxa" w:w="226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Đối tượng và bối cảnh</w:t>
            </w:r>
          </w:p>
        </w:tc>
        <w:tc>
          <w:tcPr>
            <w:tcW w:type="dxa" w:w="96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n</w:t>
            </w:r>
          </w:p>
        </w:tc>
        <w:tc>
          <w:tcPr>
            <w:tcW w:type="dxa" w:w="28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Kết quả chính (độ lớn tác động, KTC 95%)</w:t>
            </w:r>
          </w:p>
        </w:tc>
        <w:tc>
          <w:tcPr>
            <w:tcW w:type="dxa" w:w="243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Hạn chế</w:t>
            </w:r>
          </w:p>
        </w:tc>
        <w:tc>
          <w:tcPr>
            <w:tcW w:type="dxa" w:w="243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Mức độ liên quan với câu hỏi của chúng tôi</w:t>
            </w: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1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Boulet et al., 2024 (Crit Care)</w:t>
            </w: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RCT thí điểm, mù đơn, 3 ICU</w:t>
            </w: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Người lớn 18–85 tuổi bị sốc nhiễm khuẩn, trong 24 giờ đầu dùng thuốc vận mạch</w:t>
            </w: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48 (24 / 24)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Cân bằng dịch tích lũy ở ngày 5: trung vị 6.9 so với 35.0 ml/kg; chênh lệch 13.2 ml/kg (KTC 95% −15.2 đến 41.6), p = 0.42. Tử vong 28 ngày tương tự.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Nghiên cứu thí điểm nhỏ; bác sĩ không được làm mù; kết cục chính là cân bằng dịch, không phải tử vong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Cùng PICO: có thể hạn chế dịch, nhưng tác động lên tử vong chưa được biết</w:t>
            </w: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2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Hyun et al., 2023 (Ann Intensive Care)</w:t>
            </w: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Thuần tập tiến cứu (cơ sở đăng ký), ghép cặp điểm xu hướng, 20 bệnh viện</w:t>
            </w: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Người lớn bị nhiễm khuẩn huyết nhập ICU</w:t>
            </w: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2516; 373 cặp ghép (ngày 2)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Cân bằng tích lũy dương so với âm đến ngày 2: tử vong 28 ngày HR 2.13 (KTC 95% 1.48–3.06). Ngày 1: HR 1.17 (0.85–1.60).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Nghiên cứu quan sát: nhiễu tồn dư do chỉ định; chọn lựa vào các nhóm thuần tập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Cân bằng dương có liên quan với tử vong; không chứng minh được hạn chế dịch có ích</w:t>
            </w: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3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4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5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6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7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</w:tbl>
    <w:p>
      <w:pPr>
        <w:sectPr>
          <w:headerReference w:type="default" r:id="rId11"/>
          <w:footerReference w:type="default" r:id="rId12"/>
          <w:pgSz w:w="16838" w:h="11906" w:orient="landscape"/>
          <w:pgMar w:top="1474" w:right="1247" w:bottom="1247" w:left="1247" w:header="567" w:footer="567" w:gutter="0"/>
          <w:cols w:space="720"/>
          <w:docGrid w:linePitch="360"/>
        </w:sectPr>
      </w:pPr>
    </w:p>
    <w:p>
      <w:pPr>
        <w:pStyle w:val="Heading1"/>
      </w:pPr>
      <w:r>
        <w:t>Bước 4  Điều đã biết, và khoảng trống</w:t>
      </w:r>
    </w:p>
    <w:p>
      <w:pPr>
        <w:pStyle w:val="Guidance"/>
      </w:pPr>
      <w:r>
        <w:rPr>
          <w:i/>
        </w:rPr>
        <w:t>Tóm tắt ma trận trong ba đoạn ngắn. Phần này trở thành phần đặt vấn đề và lý do nghiên cứu (mục 1.2 của đề cương).</w:t>
      </w:r>
    </w:p>
    <w:p>
      <w:pPr>
        <w:spacing w:after="40"/>
      </w:pPr>
      <w:r>
        <w:rPr>
          <w:b/>
          <w:color w:val="04242F"/>
        </w:rPr>
        <w:t>Điều đã biết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1134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[Viết ở đây]</w:t>
            </w:r>
          </w:p>
        </w:tc>
      </w:tr>
    </w:tbl>
    <w:p>
      <w:pPr>
        <w:spacing w:after="0" w:line="80" w:lineRule="exact"/>
      </w:pPr>
    </w:p>
    <w:p>
      <w:pPr>
        <w:spacing w:after="40"/>
      </w:pPr>
      <w:r>
        <w:rPr>
          <w:b/>
          <w:color w:val="04242F"/>
        </w:rPr>
        <w:t>Điều CHƯA biết (khoảng trống)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1134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[Viết ở đây]</w:t>
            </w:r>
          </w:p>
        </w:tc>
      </w:tr>
    </w:tbl>
    <w:p>
      <w:pPr>
        <w:spacing w:after="0" w:line="80" w:lineRule="exact"/>
      </w:pPr>
    </w:p>
    <w:p>
      <w:pPr>
        <w:spacing w:after="40"/>
      </w:pPr>
      <w:r>
        <w:rPr>
          <w:b/>
          <w:color w:val="04242F"/>
        </w:rPr>
        <w:t>Nghiên cứu của chúng tôi sẽ giúp lấp khoảng trống thế nào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1134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[Viết ở đây]</w:t>
            </w:r>
          </w:p>
        </w:tc>
      </w:tr>
    </w:tbl>
    <w:p>
      <w:pPr>
        <w:spacing w:after="0" w:line="80" w:lineRule="exact"/>
      </w:pPr>
    </w:p>
    <w:p>
      <w:pPr>
        <w:pStyle w:val="Heading1"/>
      </w:pPr>
      <w:r>
        <w:t>Bước 5  Năm tài liệu tham khảo chính (kiểu Vancouver)</w:t>
      </w:r>
    </w:p>
    <w:p>
      <w:pPr>
        <w:pStyle w:val="Guidance"/>
      </w:pPr>
      <w:r>
        <w:rPr>
          <w:i/>
        </w:rPr>
        <w:t>Tác giả (tối đa 6, sau đó et al.). Tên bài. Tên tạp chí viết tắt. Năm;Tập(Số):Trang. doi</w:t>
      </w:r>
    </w:p>
    <w:p>
      <w:pPr>
        <w:pStyle w:val="Example"/>
      </w:pPr>
      <w:r>
        <w:rPr>
          <w:b/>
          <w:i w:val="0"/>
          <w:color w:val="055F56"/>
        </w:rPr>
        <w:t xml:space="preserve">Ví dụ: </w:t>
      </w:r>
      <w:r>
        <w:rPr>
          <w:i/>
        </w:rPr>
        <w:t>Hyun DG, Ahn JH, Huh JW, et al. Impact of a cumulative positive fluid balance during the first three ICU days in patients with sepsis: a propensity score-matched cohort study. Ann Intensive Care. 2023;13:105. doi:10.1186/s13613-023-01178-x</w:t>
      </w:r>
    </w:p>
    <w:p>
      <w:pPr>
        <w:pStyle w:val="ListNumber"/>
      </w:pPr>
      <w:r>
        <w:rPr>
          <w:i/>
          <w:color w:val="6B7B84"/>
        </w:rPr>
        <w:t>[Tài liệu 1]</w:t>
      </w:r>
    </w:p>
    <w:p>
      <w:pPr>
        <w:pStyle w:val="ListNumber"/>
      </w:pPr>
      <w:r>
        <w:rPr>
          <w:i/>
          <w:color w:val="6B7B84"/>
        </w:rPr>
        <w:t>[Tài liệu 2]</w:t>
      </w:r>
    </w:p>
    <w:p>
      <w:pPr>
        <w:pStyle w:val="ListNumber"/>
      </w:pPr>
      <w:r>
        <w:rPr>
          <w:i/>
          <w:color w:val="6B7B84"/>
        </w:rPr>
        <w:t>[Tài liệu 3]</w:t>
      </w:r>
    </w:p>
    <w:p>
      <w:pPr>
        <w:pStyle w:val="ListNumber"/>
      </w:pPr>
      <w:r>
        <w:rPr>
          <w:i/>
          <w:color w:val="6B7B84"/>
        </w:rPr>
        <w:t>[Tài liệu 4]</w:t>
      </w:r>
    </w:p>
    <w:p>
      <w:pPr>
        <w:pStyle w:val="ListNumber"/>
      </w:pPr>
      <w:r>
        <w:rPr>
          <w:i/>
          <w:color w:val="6B7B84"/>
        </w:rPr>
        <w:t>[Tài liệu 5]</w:t>
      </w:r>
    </w:p>
    <w:sectPr w:rsidR="00FC693F" w:rsidRPr="0006063C" w:rsidSect="00034616">
      <w:headerReference w:type="default" r:id="rId13"/>
      <w:footerReference w:type="default" r:id="rId14"/>
      <w:pgSz w:w="11906" w:h="16838"/>
      <w:pgMar w:top="1474" w:right="1247" w:bottom="124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Nền tảng Nghiên cứu Lâm sàng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Trang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/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4343" w:val="right"/>
      </w:tabs>
    </w:pPr>
    <w:r>
      <w:rPr>
        <w:color w:val="8A99A3"/>
        <w:sz w:val="16"/>
      </w:rPr>
      <w:t xml:space="preserve">Nền tảng Nghiên cứu Lâm sàng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Trang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/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Nền tảng Nghiên cứu Lâm sàng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Trang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/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Phiếu tổng quan tài liệu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14343" w:val="right"/>
      </w:tabs>
    </w:pPr>
    <w:r>
      <w:rPr>
        <w:color w:val="04242F"/>
        <w:sz w:val="16"/>
      </w:rPr>
      <w:t>Phiếu tổng quan tài liệu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Phiếu tổng quan tài liệu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20" w:after="100"/>
      <w:outlineLvl w:val="0"/>
    </w:pPr>
    <w:rPr>
      <w:rFonts w:ascii="Arial" w:hAnsi="Arial" w:cs="Arial" w:eastAsia="Arial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Arial" w:hAnsi="Arial" w:cs="Arial" w:eastAsia="Arial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="Arial" w:hAnsi="Arial" w:cs="Arial" w:eastAsia="Arial"/>
      <w:b/>
      <w:bCs/>
      <w:i w:val="0"/>
      <w:color w:val="055F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Arial" w:hAnsi="Arial" w:cs="Arial" w:eastAsia="Arial"/>
      <w:b/>
      <w:color w:val="0424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="Arial" w:hAnsi="Arial" w:cs="Arial" w:eastAsia="Arial"/>
      <w:b w:val="0"/>
      <w:i w:val="0"/>
      <w:iCs/>
      <w:color w:val="055F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Guidance">
    <w:name w:val="Guidance"/>
    <w:basedOn w:val="Normal"/>
    <w:pPr>
      <w:keepNext/>
      <w:spacing w:after="80"/>
    </w:pPr>
    <w:rPr>
      <w:rFonts w:ascii="Arial" w:hAnsi="Arial" w:cs="Arial" w:eastAsia="Arial"/>
      <w:i/>
      <w:color w:val="6B7B84"/>
      <w:sz w:val="19"/>
    </w:rPr>
  </w:style>
  <w:style w:type="paragraph" w:customStyle="1" w:styleId="Example">
    <w:name w:val="Example"/>
    <w:basedOn w:val="Normal"/>
    <w:pPr>
      <w:pBdr>
        <w:left w:val="single" w:sz="24" w:space="8" w:color="9FD3CB"/>
      </w:pBdr>
      <w:shd w:val="clear" w:color="auto" w:fill="F3F8F7"/>
      <w:spacing w:after="120"/>
      <w:ind w:left="198"/>
    </w:pPr>
    <w:rPr>
      <w:rFonts w:ascii="Arial" w:hAnsi="Arial" w:cs="Arial" w:eastAsia="Arial"/>
      <w:i/>
      <w:color w:val="6B7B84"/>
      <w:sz w:val="19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Phiếu tổng quan tài liệu</dc:title>
  <dc:subject>PICO, nhật ký tìm kiếm và ma trận bằng chứng</dc:subject>
  <dc:creator>Neudata Consulting Ltd</dc:creator>
  <cp:keywords/>
  <dc:description>Generated by Course/Templates/build_documents.py</dc:description>
  <cp:lastModifiedBy/>
  <cp:revision>1</cp:revision>
  <dcterms:created xsi:type="dcterms:W3CDTF">2013-12-23T23:15:00Z</dcterms:created>
  <dcterms:modified xsi:type="dcterms:W3CDTF">2013-12-23T23:15:00Z</dcterms:modified>
  <cp:category/>
  <dc:language>vi-VN</dc:language>
</cp:coreProperties>
</file>