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Chọn công cụ đánh giá nguy cơ sai lệch</w:t>
      </w:r>
    </w:p>
    <w:p>
      <w:pPr>
        <w:pStyle w:val="Subtitle"/>
      </w:pPr>
      <w:r>
        <w:t>Công cụ thẩm định nào cho thiết kế nghiên cứu nào?</w:t>
      </w:r>
    </w:p>
    <w:p>
      <w:pPr>
        <w:pStyle w:val="NeudataSmall"/>
        <w:spacing w:after="160"/>
      </w:pPr>
      <w:r>
        <w:t>Nền tảng Nghiên cứu Lâm sàng</w:t>
      </w:r>
      <w:r>
        <w:t xml:space="preserve">  ·  Buổi 4 (4.3) và Buổi 8 (8.3)</w:t>
      </w:r>
    </w:p>
    <w:tbl>
      <w:tblPr>
        <w:tblW w:type="auto" w:w="0"/>
        <w:jc w:val="center"/>
        <w:tblLayout w:type="fixed"/>
        <w:tblCellMar>
          <w:top w:w="100" w:type="dxa"/>
          <w:left w:w="180" w:type="dxa"/>
          <w:bottom w:w="100" w:type="dxa"/>
          <w:right w:w="160" w:type="dxa"/>
        </w:tblCellMar>
        <w:tblLook w:firstColumn="1" w:firstRow="1" w:lastColumn="0" w:lastRow="0" w:noHBand="0" w:noVBand="1" w:val="04A0"/>
      </w:tblPr>
      <w:tblGrid>
        <w:gridCol w:w="9412"/>
      </w:tblGrid>
      <w:tr>
        <w:trPr>
          <w:cantSplit w:val="true"/>
        </w:trPr>
        <w:tc>
          <w:tcPr>
            <w:tcW w:type="dxa" w:w="9411"/>
            <w:tcBorders>
              <w:top w:val="single" w:sz="4" w:color="EAF2F5"/>
              <w:left w:val="single" w:sz="24" w:color="055F56"/>
              <w:bottom w:val="single" w:sz="4" w:color="EAF2F5"/>
              <w:right w:val="single" w:sz="4" w:color="EAF2F5"/>
            </w:tcBorders>
            <w:shd w:val="clear" w:color="auto" w:fill="EAF2F5"/>
          </w:tcPr>
          <w:p>
            <w:pPr>
              <w:spacing w:after="60"/>
            </w:pPr>
            <w:r>
              <w:rPr>
                <w:rFonts w:ascii="Arial" w:hAnsi="Arial" w:cs="Arial" w:eastAsia="Arial"/>
                <w:b/>
                <w:color w:val="055F56"/>
                <w:sz w:val="20"/>
              </w:rPr>
              <w:t>Cách chọn</w:t>
            </w:r>
          </w:p>
          <w:p>
            <w:pPr>
              <w:spacing w:after="40" w:line="259" w:lineRule="auto"/>
              <w:ind w:left="227" w:hanging="227"/>
            </w:pPr>
            <w:r>
              <w:rPr>
                <w:b/>
                <w:color w:val="055F56"/>
                <w:sz w:val="18"/>
              </w:rPr>
              <w:t xml:space="preserve">•  </w:t>
            </w:r>
            <w:r>
              <w:rPr>
                <w:sz w:val="18"/>
              </w:rPr>
              <w:t>Bước 1: xác định thiết kế của nghiên cứu (dùng cây quyết định thiết kế ở Buổi 3).</w:t>
            </w:r>
          </w:p>
          <w:p>
            <w:pPr>
              <w:spacing w:after="40" w:line="259" w:lineRule="auto"/>
              <w:ind w:left="227" w:hanging="227"/>
            </w:pPr>
            <w:r>
              <w:rPr>
                <w:b/>
                <w:color w:val="055F56"/>
                <w:sz w:val="18"/>
              </w:rPr>
              <w:t xml:space="preserve">•  </w:t>
            </w:r>
            <w:r>
              <w:rPr>
                <w:sz w:val="18"/>
              </w:rPr>
              <w:t>Bước 2: chọn công cụ trong bảng. Thẩm định từng kết cục bạn quan tâm, không thẩm định cả bài báo một lúc.</w:t>
            </w:r>
          </w:p>
          <w:p>
            <w:pPr>
              <w:spacing w:after="40" w:line="259" w:lineRule="auto"/>
              <w:ind w:left="227" w:hanging="227"/>
            </w:pPr>
            <w:r>
              <w:rPr>
                <w:b/>
                <w:color w:val="055F56"/>
                <w:sz w:val="18"/>
              </w:rPr>
              <w:t xml:space="preserve">•  </w:t>
            </w:r>
            <w:r>
              <w:rPr>
                <w:sz w:val="18"/>
              </w:rPr>
              <w:t>Bước 3: đánh giá từng lĩnh vực (nguy cơ thấp / có một số lo ngại / nguy cơ cao), rồi hỏi: kết luận có được dữ liệu ủng hộ không? Trong khóa học chúng ta dùng bảng kiểm 10 câu hỏi đơn giản; hãy dùng các công cụ đầy đủ này khi thẩm định bằng chứng một cách chính thức (ví dụ cho một tổng quan hệ thống).</w:t>
            </w:r>
          </w:p>
          <w:p>
            <w:pPr>
              <w:spacing w:after="40" w:line="259" w:lineRule="auto"/>
              <w:ind w:left="227" w:hanging="227"/>
            </w:pPr>
            <w:r>
              <w:rPr>
                <w:b/>
                <w:color w:val="055F56"/>
                <w:sz w:val="18"/>
              </w:rPr>
              <w:t xml:space="preserve">•  </w:t>
            </w:r>
            <w:r>
              <w:rPr>
                <w:sz w:val="18"/>
              </w:rPr>
              <w:t>Hướng dẫn báo cáo (CONSORT, STROBE, ...) cho tác giả biết cần BÁO CÁO gì. Công cụ đánh giá nguy cơ sai lệch đánh giá kết quả ĐÁNG TIN đến đâu. Hai loại này không giống nhau.</w:t>
            </w:r>
          </w:p>
        </w:tc>
      </w:tr>
    </w:tbl>
    <w:p>
      <w:pPr>
        <w:spacing w:after="0" w:line="120" w:lineRule="exact"/>
      </w:pP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1984"/>
        <w:gridCol w:w="1644"/>
        <w:gridCol w:w="3969"/>
        <w:gridCol w:w="1814"/>
      </w:tblGrid>
      <w:tr>
        <w:trPr>
          <w:cantSplit w:val="true"/>
          <w:tblHeader w:val="true"/>
        </w:trPr>
        <w:tc>
          <w:tcPr>
            <w:tcW w:type="dxa" w:w="198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Thiết kế nghiên cứu</w:t>
            </w:r>
          </w:p>
        </w:tc>
        <w:tc>
          <w:tcPr>
            <w:tcW w:type="dxa" w:w="164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Công cụ</w:t>
            </w:r>
          </w:p>
        </w:tc>
        <w:tc>
          <w:tcPr>
            <w:tcW w:type="dxa" w:w="396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Đánh giá những gì</w:t>
            </w:r>
          </w:p>
        </w:tc>
        <w:tc>
          <w:tcPr>
            <w:tcW w:type="dxa" w:w="181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Nguồn miễn phí</w:t>
            </w:r>
          </w:p>
        </w:tc>
      </w:tr>
      <w:tr>
        <w:trPr>
          <w:cantSplit w:val="true"/>
        </w:trPr>
        <w:tc>
          <w:tcPr>
            <w:tcW w:type="dxa" w:w="1984"/>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Thử nghiệm lâm sàng ngẫu nhiên có đối chứng</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b/>
                <w:color w:val="055F56"/>
                <w:sz w:val="18"/>
              </w:rPr>
              <w:t>RoB 2</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sz w:val="18"/>
              </w:rPr>
              <w:t>Sai lệch do phân bổ ngẫu nhiên, sai khác so với can thiệp dự định, thiếu dữ liệu kết cục, đo lường kết cục và chọn lọc kết quả được báo cáo</w:t>
            </w:r>
          </w:p>
        </w:tc>
        <w:tc>
          <w:tcPr>
            <w:tcW w:type="dxa" w:w="1814"/>
            <w:tcBorders>
              <w:top w:val="single" w:sz="4" w:color="D5DDE1"/>
              <w:left w:val="single" w:sz="4" w:color="D5DDE1"/>
              <w:bottom w:val="single" w:sz="4" w:color="D5DDE1"/>
              <w:right w:val="single" w:sz="4" w:color="D5DDE1"/>
            </w:tcBorders>
          </w:tcPr>
          <w:p>
            <w:pPr>
              <w:keepNext/>
              <w:spacing w:after="0" w:line="252" w:lineRule="auto"/>
            </w:pPr>
            <w:r>
              <w:rPr>
                <w:sz w:val="18"/>
              </w:rPr>
              <w:t>Cochrane, riskofbias.info</w:t>
            </w:r>
          </w:p>
        </w:tc>
      </w:tr>
      <w:tr>
        <w:trPr>
          <w:cantSplit w:val="true"/>
        </w:trPr>
        <w:tc>
          <w:tcPr>
            <w:tcW w:type="dxa" w:w="198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8"/>
              </w:rPr>
              <w:t>Nghiên cứu can thiệp không ngẫu nhiên</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55F56"/>
                <w:sz w:val="18"/>
              </w:rPr>
              <w:t>ROBINS-I</w:t>
            </w:r>
          </w:p>
        </w:tc>
        <w:tc>
          <w:tcPr>
            <w:tcW w:type="dxa" w:w="396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Nhiễu, chọn người tham gia, phân loại can thiệp, sai khác, dữ liệu thiếu, đo lường và báo cáo, đánh giá so với một "thử nghiệm mục tiêu" lý tưởng</w:t>
            </w:r>
          </w:p>
        </w:tc>
        <w:tc>
          <w:tcPr>
            <w:tcW w:type="dxa" w:w="181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Cochrane, riskofbias.info</w:t>
            </w:r>
          </w:p>
        </w:tc>
      </w:tr>
      <w:tr>
        <w:trPr>
          <w:cantSplit w:val="true"/>
        </w:trPr>
        <w:tc>
          <w:tcPr>
            <w:tcW w:type="dxa" w:w="1984"/>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Thuần tập và bệnh–chứng (phơi nhiễm)</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b/>
                <w:color w:val="055F56"/>
                <w:sz w:val="18"/>
              </w:rPr>
              <w:t>Thang điểm Newcastle–Ottawa</w:t>
            </w:r>
            <w:r>
              <w:rPr>
                <w:sz w:val="18"/>
              </w:rPr>
              <w:t xml:space="preserve"> hoặc </w:t>
            </w:r>
            <w:r>
              <w:rPr>
                <w:b/>
                <w:color w:val="055F56"/>
                <w:sz w:val="18"/>
              </w:rPr>
              <w:t>ROBINS-E</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sz w:val="18"/>
              </w:rPr>
              <w:t>NOS: cho sao về chọn nhóm, tính so sánh được (nhiễu) và xác định kết cục/phơi nhiễm. ROBINS-E: các lĩnh vực của ROBINS-I, áp dụng cho phơi nhiễm</w:t>
            </w:r>
          </w:p>
        </w:tc>
        <w:tc>
          <w:tcPr>
            <w:tcW w:type="dxa" w:w="1814"/>
            <w:tcBorders>
              <w:top w:val="single" w:sz="4" w:color="D5DDE1"/>
              <w:left w:val="single" w:sz="4" w:color="D5DDE1"/>
              <w:bottom w:val="single" w:sz="4" w:color="D5DDE1"/>
              <w:right w:val="single" w:sz="4" w:color="D5DDE1"/>
            </w:tcBorders>
          </w:tcPr>
          <w:p>
            <w:pPr>
              <w:keepNext/>
              <w:spacing w:after="0" w:line="252" w:lineRule="auto"/>
            </w:pPr>
            <w:r>
              <w:rPr>
                <w:sz w:val="18"/>
              </w:rPr>
              <w:t>Ottawa Hospital Research Institute, ohri.ca; riskofbias.info</w:t>
            </w:r>
          </w:p>
        </w:tc>
      </w:tr>
      <w:tr>
        <w:trPr>
          <w:cantSplit w:val="true"/>
        </w:trPr>
        <w:tc>
          <w:tcPr>
            <w:tcW w:type="dxa" w:w="198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4242F"/>
                <w:sz w:val="18"/>
              </w:rPr>
              <w:t>Nghiên cứu độ chính xác chẩn đoán</w:t>
            </w:r>
          </w:p>
        </w:tc>
        <w:tc>
          <w:tcPr>
            <w:tcW w:type="dxa" w:w="164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b/>
                <w:color w:val="055F56"/>
                <w:sz w:val="18"/>
              </w:rPr>
              <w:t>QUADAS-2</w:t>
            </w:r>
          </w:p>
        </w:tc>
        <w:tc>
          <w:tcPr>
            <w:tcW w:type="dxa" w:w="3969"/>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Chọn người bệnh, xét nghiệm cần đánh giá, tiêu chuẩn tham chiếu, dòng người bệnh và thời điểm: nguy cơ sai lệch VÀ khả năng áp dụng</w:t>
            </w:r>
          </w:p>
        </w:tc>
        <w:tc>
          <w:tcPr>
            <w:tcW w:type="dxa" w:w="1814"/>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8"/>
              </w:rPr>
              <w:t>University of Bristol, bristol.ac.uk (QUADAS)</w:t>
            </w:r>
          </w:p>
        </w:tc>
      </w:tr>
      <w:tr>
        <w:trPr>
          <w:cantSplit w:val="true"/>
        </w:trPr>
        <w:tc>
          <w:tcPr>
            <w:tcW w:type="dxa" w:w="1984"/>
            <w:tcBorders>
              <w:top w:val="single" w:sz="4" w:color="D5DDE1"/>
              <w:left w:val="single" w:sz="4" w:color="D5DDE1"/>
              <w:bottom w:val="single" w:sz="4" w:color="D5DDE1"/>
              <w:right w:val="single" w:sz="4" w:color="D5DDE1"/>
            </w:tcBorders>
          </w:tcPr>
          <w:p>
            <w:pPr>
              <w:keepNext/>
              <w:spacing w:after="0" w:line="252" w:lineRule="auto"/>
            </w:pPr>
            <w:r>
              <w:rPr>
                <w:b/>
                <w:color w:val="04242F"/>
                <w:sz w:val="18"/>
              </w:rPr>
              <w:t>Tổng quan hệ thống / phân tích gộp</w:t>
            </w:r>
          </w:p>
        </w:tc>
        <w:tc>
          <w:tcPr>
            <w:tcW w:type="dxa" w:w="1644"/>
            <w:tcBorders>
              <w:top w:val="single" w:sz="4" w:color="D5DDE1"/>
              <w:left w:val="single" w:sz="4" w:color="D5DDE1"/>
              <w:bottom w:val="single" w:sz="4" w:color="D5DDE1"/>
              <w:right w:val="single" w:sz="4" w:color="D5DDE1"/>
            </w:tcBorders>
          </w:tcPr>
          <w:p>
            <w:pPr>
              <w:keepNext/>
              <w:spacing w:after="0" w:line="252" w:lineRule="auto"/>
            </w:pPr>
            <w:r>
              <w:rPr>
                <w:b/>
                <w:color w:val="055F56"/>
                <w:sz w:val="18"/>
              </w:rPr>
              <w:t>AMSTAR 2</w:t>
            </w:r>
          </w:p>
        </w:tc>
        <w:tc>
          <w:tcPr>
            <w:tcW w:type="dxa" w:w="3969"/>
            <w:tcBorders>
              <w:top w:val="single" w:sz="4" w:color="D5DDE1"/>
              <w:left w:val="single" w:sz="4" w:color="D5DDE1"/>
              <w:bottom w:val="single" w:sz="4" w:color="D5DDE1"/>
              <w:right w:val="single" w:sz="4" w:color="D5DDE1"/>
            </w:tcBorders>
          </w:tcPr>
          <w:p>
            <w:pPr>
              <w:keepNext/>
              <w:spacing w:after="0" w:line="252" w:lineRule="auto"/>
            </w:pPr>
            <w:r>
              <w:rPr>
                <w:sz w:val="18"/>
              </w:rPr>
              <w:t>16 mục: đề cương đăng ký trước, tìm kiếm toàn diện, đánh giá nguy cơ sai lệch của các nghiên cứu được đưa vào, phân tích gộp phù hợp, sai lệch xuất bản</w:t>
            </w:r>
          </w:p>
        </w:tc>
        <w:tc>
          <w:tcPr>
            <w:tcW w:type="dxa" w:w="1814"/>
            <w:tcBorders>
              <w:top w:val="single" w:sz="4" w:color="D5DDE1"/>
              <w:left w:val="single" w:sz="4" w:color="D5DDE1"/>
              <w:bottom w:val="single" w:sz="4" w:color="D5DDE1"/>
              <w:right w:val="single" w:sz="4" w:color="D5DDE1"/>
            </w:tcBorders>
          </w:tcPr>
          <w:p>
            <w:pPr>
              <w:keepNext/>
              <w:spacing w:after="0" w:line="252" w:lineRule="auto"/>
            </w:pPr>
            <w:r>
              <w:rPr>
                <w:sz w:val="18"/>
              </w:rPr>
              <w:t>amstar.ca</w:t>
            </w:r>
          </w:p>
        </w:tc>
      </w:tr>
      <w:tr>
        <w:trPr>
          <w:cantSplit w:val="true"/>
        </w:trPr>
        <w:tc>
          <w:tcPr>
            <w:tcW w:type="dxa" w:w="198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8"/>
              </w:rPr>
              <w:t>Nghiên cứu định tính</w:t>
            </w:r>
          </w:p>
        </w:tc>
        <w:tc>
          <w:tcPr>
            <w:tcW w:type="dxa" w:w="1644"/>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55F56"/>
                <w:sz w:val="18"/>
              </w:rPr>
              <w:t>Bảng kiểm định tính CASP</w:t>
            </w:r>
          </w:p>
        </w:tc>
        <w:tc>
          <w:tcPr>
            <w:tcW w:type="dxa" w:w="3969"/>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10 câu hỏi: mục tiêu rõ ràng, phương pháp và thiết kế phù hợp, tuyển chọn, thu thập dữ liệu, mối quan hệ của nhà nghiên cứu (tính phản tư), đạo đức, tính chặt chẽ của phân tích, phát hiện, giá trị</w:t>
            </w:r>
          </w:p>
        </w:tc>
        <w:tc>
          <w:tcPr>
            <w:tcW w:type="dxa" w:w="1814"/>
            <w:tcBorders>
              <w:top w:val="single" w:sz="4" w:color="D5DDE1"/>
              <w:left w:val="single" w:sz="4" w:color="D5DDE1"/>
              <w:bottom w:val="single" w:sz="4" w:color="D5DDE1"/>
              <w:right w:val="single" w:sz="4" w:color="D5DDE1"/>
            </w:tcBorders>
            <w:shd w:val="clear" w:color="auto" w:fill="F5F9FA"/>
          </w:tcPr>
          <w:p>
            <w:pPr>
              <w:spacing w:after="0" w:line="252" w:lineRule="auto"/>
            </w:pPr>
            <w:r>
              <w:rPr>
                <w:sz w:val="18"/>
              </w:rPr>
              <w:t>Critical Appraisal Skills Programme, casp-uk.net</w:t>
            </w:r>
          </w:p>
        </w:tc>
      </w:tr>
    </w:tbl>
    <w:p>
      <w:pPr>
        <w:spacing w:after="0" w:line="120" w:lineRule="exact"/>
      </w:pPr>
    </w:p>
    <w:p>
      <w:pPr>
        <w:pStyle w:val="NeudataSmall"/>
      </w:pPr>
      <w:r>
        <w:t>Các thiết kế khác: PROBAST cho mô hình dự báo, và các bảng kiểm thẩm định của JBI (jbi.global) cho nghiên cứu cắt ngang và loạt ca bệnh. Tất cả công cụ trên đều tải miễn phí; hãy kiểm tra nguồn để có phiên bản mới nhất và tài liệu hướng dẫn kèm theo.</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Chọn công cụ đánh giá nguy cơ sai lệch</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Chọn công cụ đánh giá nguy cơ sai lệch</dc:title>
  <dc:subject>Bảng chọn công cụ theo thiết kế</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