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Statistical analysis plan (SAP)</w:t>
      </w:r>
    </w:p>
    <w:p>
      <w:pPr>
        <w:pStyle w:val="Subtitle"/>
      </w:pPr>
      <w:r>
        <w:t>Write the analysis down before you see the data</w:t>
      </w:r>
    </w:p>
    <w:p>
      <w:pPr>
        <w:pStyle w:val="NeudataSmall"/>
        <w:spacing w:after="160"/>
      </w:pPr>
      <w:r>
        <w:t>Foundations of Clinical Research</w:t>
      </w:r>
      <w:r>
        <w:t xml:space="preserve">  ·  Sessions 5–6 (6.4) · Template version 1.0</w:t>
      </w: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EAF2F5"/>
              <w:left w:val="single" w:sz="24" w:color="055F56"/>
              <w:bottom w:val="single" w:sz="4" w:color="EAF2F5"/>
              <w:right w:val="single" w:sz="4" w:color="EAF2F5"/>
            </w:tcBorders>
            <w:shd w:val="clear" w:color="auto" w:fill="EAF2F5"/>
          </w:tcPr>
          <w:p>
            <w:pPr>
              <w:spacing w:after="60"/>
            </w:pPr>
            <w:r>
              <w:rPr>
                <w:rFonts w:ascii="Century Gothic" w:hAnsi="Century Gothic" w:cs="Century Gothic" w:eastAsia="Century Gothic"/>
                <w:b/>
                <w:color w:val="055F56"/>
                <w:sz w:val="21"/>
              </w:rPr>
              <w:t>How to use this template</w:t>
            </w:r>
          </w:p>
          <w:p>
            <w:pPr>
              <w:spacing w:after="40" w:line="259" w:lineRule="auto"/>
              <w:ind w:left="227" w:hanging="227"/>
            </w:pPr>
            <w:r>
              <w:rPr>
                <w:b/>
                <w:color w:val="055F56"/>
                <w:sz w:val="19"/>
              </w:rPr>
              <w:t xml:space="preserve">•  </w:t>
            </w:r>
            <w:r>
              <w:rPr>
                <w:sz w:val="19"/>
              </w:rPr>
              <w:t>Replace every [grey italic text in brackets] with your own text. Press Ctrl + H and search for “[” to step through them, and check none remain before you share the document.</w:t>
            </w:r>
          </w:p>
          <w:p>
            <w:pPr>
              <w:spacing w:after="40" w:line="259" w:lineRule="auto"/>
              <w:ind w:left="227" w:hanging="227"/>
            </w:pPr>
            <w:r>
              <w:rPr>
                <w:b/>
                <w:color w:val="055F56"/>
                <w:sz w:val="19"/>
              </w:rPr>
              <w:t xml:space="preserve">•  </w:t>
            </w:r>
            <w:r>
              <w:rPr>
                <w:sz w:val="19"/>
              </w:rPr>
              <w:t>Grey italic guidance and shaded “Example” boxes are there to help you. Delete them as you write: Home → Styles → right-click “Guidance” (or “Example”) → Select All → Delete.</w:t>
            </w:r>
          </w:p>
          <w:p>
            <w:pPr>
              <w:spacing w:after="40" w:line="259" w:lineRule="auto"/>
              <w:ind w:left="227" w:hanging="227"/>
            </w:pPr>
            <w:r>
              <w:rPr>
                <w:b/>
                <w:color w:val="055F56"/>
                <w:sz w:val="19"/>
              </w:rPr>
              <w:t xml:space="preserve">•  </w:t>
            </w:r>
            <w:r>
              <w:rPr>
                <w:sz w:val="19"/>
              </w:rPr>
              <w:t>Finish and sign the SAP before the database is locked (and, in a trial, before unblinding). Analyses that were not planned can still be done, but must be reported as exploratory.</w:t>
            </w:r>
          </w:p>
          <w:p>
            <w:pPr>
              <w:spacing w:after="40" w:line="259" w:lineRule="auto"/>
              <w:ind w:left="227" w:hanging="227"/>
            </w:pPr>
            <w:r>
              <w:rPr>
                <w:b/>
                <w:color w:val="055F56"/>
                <w:sz w:val="19"/>
              </w:rPr>
              <w:t xml:space="preserve">•  </w:t>
            </w:r>
            <w:r>
              <w:rPr>
                <w:sz w:val="19"/>
              </w:rPr>
              <w:t xml:space="preserve">The examples use the running example as a two-arm trial: </w:t>
            </w:r>
            <w:r>
              <w:rPr>
                <w:i/>
                <w:sz w:val="19"/>
              </w:rPr>
              <w:t>In adults with septic shock in the ICU, does a restrictive fluid strategy, compared with usual care, reduce 28-day mortality?</w:t>
            </w:r>
            <w:r>
              <w:rPr>
                <w:sz w:val="19"/>
              </w:rPr>
              <w:t xml:space="preserve"> Notes marked “Observational study” show what changes for a cohort.</w:t>
            </w:r>
          </w:p>
          <w:p>
            <w:pPr>
              <w:spacing w:after="40" w:line="259" w:lineRule="auto"/>
              <w:ind w:left="227" w:hanging="227"/>
            </w:pPr>
            <w:r>
              <w:rPr>
                <w:b/>
                <w:color w:val="055F56"/>
                <w:sz w:val="19"/>
              </w:rPr>
              <w:t xml:space="preserve">•  </w:t>
            </w:r>
            <w:r>
              <w:rPr>
                <w:sz w:val="19"/>
              </w:rPr>
              <w:t>Write it with your statistician. In this course you need to understand each choice; the instructor runs the analyses.</w:t>
            </w:r>
          </w:p>
          <w:p>
            <w:pPr>
              <w:spacing w:after="40" w:line="259" w:lineRule="auto"/>
              <w:ind w:left="227" w:hanging="227"/>
            </w:pPr>
            <w:r>
              <w:rPr>
                <w:b/>
                <w:color w:val="055F56"/>
                <w:sz w:val="19"/>
              </w:rPr>
              <w:t xml:space="preserve">•  </w:t>
            </w:r>
            <w:r>
              <w:rPr>
                <w:b/>
                <w:color w:val="04242F"/>
                <w:sz w:val="19"/>
              </w:rPr>
              <w:t xml:space="preserve">Worked example: </w:t>
            </w:r>
            <w:r>
              <w:rPr>
                <w:sz w:val="19"/>
              </w:rPr>
              <w:t>a complete SAP for the course dataset (FLUID-ICU, positive fluid balance by day 3 and 28-day mortality) is in Course/Data/SAP_FLUID-ICU.md. Compare your plan with it.</w:t>
            </w:r>
          </w:p>
        </w:tc>
      </w:tr>
    </w:tbl>
    <w:p>
      <w:pPr>
        <w:spacing w:after="0" w:line="120" w:lineRule="exact"/>
      </w:pP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268"/>
        <w:gridCol w:w="7144"/>
      </w:tblGrid>
      <w:tr>
        <w:tc>
          <w:tcPr>
            <w:tcW w:type="dxa" w:w="2268"/>
          </w:tcPr>
          <w:p>
            <w:pPr>
              <w:spacing w:after="0"/>
            </w:pPr>
            <w:r>
              <w:rPr>
                <w:b/>
                <w:color w:val="04242F"/>
                <w:sz w:val="20"/>
              </w:rPr>
              <w:t>Study title:</w:t>
            </w:r>
          </w:p>
        </w:tc>
        <w:tc>
          <w:tcPr>
            <w:tcW w:type="dxa" w:w="7143"/>
          </w:tcPr>
          <w:p>
            <w:pPr>
              <w:spacing w:after="0"/>
            </w:pPr>
            <w:r>
              <w:rPr>
                <w:i/>
                <w:color w:val="6B7B84"/>
                <w:sz w:val="20"/>
              </w:rPr>
              <w:t>[Full title]</w:t>
            </w:r>
          </w:p>
        </w:tc>
      </w:tr>
      <w:tr>
        <w:tc>
          <w:tcPr>
            <w:tcW w:type="dxa" w:w="2268"/>
          </w:tcPr>
          <w:p>
            <w:pPr>
              <w:spacing w:after="0"/>
            </w:pPr>
            <w:r>
              <w:rPr>
                <w:b/>
                <w:color w:val="04242F"/>
                <w:sz w:val="20"/>
              </w:rPr>
              <w:t>Protocol version:</w:t>
            </w:r>
          </w:p>
        </w:tc>
        <w:tc>
          <w:tcPr>
            <w:tcW w:type="dxa" w:w="7143"/>
          </w:tcPr>
          <w:p>
            <w:pPr>
              <w:spacing w:after="0"/>
            </w:pPr>
            <w:r>
              <w:rPr>
                <w:i/>
                <w:color w:val="6B7B84"/>
                <w:sz w:val="20"/>
              </w:rPr>
              <w:t>[Version and date]</w:t>
            </w:r>
          </w:p>
        </w:tc>
      </w:tr>
      <w:tr>
        <w:tc>
          <w:tcPr>
            <w:tcW w:type="dxa" w:w="2268"/>
          </w:tcPr>
          <w:p>
            <w:pPr>
              <w:spacing w:after="0"/>
            </w:pPr>
            <w:r>
              <w:rPr>
                <w:b/>
                <w:color w:val="04242F"/>
                <w:sz w:val="20"/>
              </w:rPr>
              <w:t>SAP version / date:</w:t>
            </w:r>
          </w:p>
        </w:tc>
        <w:tc>
          <w:tcPr>
            <w:tcW w:type="dxa" w:w="7143"/>
          </w:tcPr>
          <w:p>
            <w:pPr>
              <w:spacing w:after="0"/>
            </w:pPr>
            <w:r>
              <w:rPr>
                <w:i/>
                <w:color w:val="6B7B84"/>
                <w:sz w:val="20"/>
              </w:rPr>
              <w:t>[1.0]</w:t>
            </w:r>
            <w:r>
              <w:rPr>
                <w:sz w:val="20"/>
              </w:rPr>
              <w:t xml:space="preserve">  ·  </w:t>
            </w:r>
            <w:r>
              <w:rPr>
                <w:i/>
                <w:color w:val="6B7B84"/>
                <w:sz w:val="20"/>
              </w:rPr>
              <w:t>[DD/MM/YYYY]</w:t>
            </w:r>
          </w:p>
        </w:tc>
      </w:tr>
      <w:tr>
        <w:tc>
          <w:tcPr>
            <w:tcW w:type="dxa" w:w="2268"/>
          </w:tcPr>
          <w:p>
            <w:pPr>
              <w:spacing w:after="0"/>
            </w:pPr>
            <w:r>
              <w:rPr>
                <w:b/>
                <w:color w:val="04242F"/>
                <w:sz w:val="20"/>
              </w:rPr>
              <w:t>Written by:</w:t>
            </w:r>
          </w:p>
        </w:tc>
        <w:tc>
          <w:tcPr>
            <w:tcW w:type="dxa" w:w="7143"/>
          </w:tcPr>
          <w:p>
            <w:pPr>
              <w:spacing w:after="0"/>
            </w:pPr>
            <w:r>
              <w:rPr>
                <w:i/>
                <w:color w:val="6B7B84"/>
                <w:sz w:val="20"/>
              </w:rPr>
              <w:t>[Name(s) and role(s)]</w:t>
            </w:r>
          </w:p>
        </w:tc>
      </w:tr>
    </w:tbl>
    <w:p>
      <w:pPr>
        <w:pStyle w:val="Heading1"/>
      </w:pPr>
      <w:r>
        <w:t>1  Study summary and objectives</w:t>
      </w:r>
    </w:p>
    <w:p>
      <w:pPr>
        <w:pStyle w:val="Guidance"/>
      </w:pPr>
      <w:r>
        <w:rPr>
          <w:i/>
        </w:rPr>
        <w:t>Copy from the protocol: design, population, intervention/exposure and comparator, and the primary and secondary objectives. Every analysis below must link to one objective.</w:t>
      </w:r>
    </w:p>
    <w:p>
      <w:pPr>
        <w:pStyle w:val="Example"/>
      </w:pPr>
      <w:r>
        <w:rPr>
          <w:b/>
          <w:i w:val="0"/>
          <w:color w:val="055F56"/>
        </w:rPr>
        <w:t xml:space="preserve">Example: </w:t>
      </w:r>
      <w:r>
        <w:rPr>
          <w:i/>
        </w:rPr>
        <w:t>Pilot randomised trial, 1:1, adults with septic shock. Primary objective: compare 28-day all-cause mortality between a restrictive fluid strategy and usual care. Secondary: cumulative fluid balance at day 5; renal replacement therapy; time to death up to day 28.</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907"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[Summary and objectives]</w:t>
            </w:r>
          </w:p>
        </w:tc>
      </w:tr>
    </w:tbl>
    <w:p>
      <w:pPr>
        <w:spacing w:after="0" w:line="80" w:lineRule="exact"/>
      </w:pPr>
    </w:p>
    <w:p>
      <w:pPr>
        <w:pStyle w:val="Heading1"/>
      </w:pPr>
      <w:r>
        <w:t>2  Outcomes and their definitions</w:t>
      </w:r>
    </w:p>
    <w:p>
      <w:pPr>
        <w:pStyle w:val="Guidance"/>
      </w:pPr>
      <w:r>
        <w:rPr>
          <w:i/>
        </w:rPr>
        <w:t>Define each outcome exactly as it will be computed from the database: variable name, type, unit and time point. One primary outcome.</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494"/>
        <w:gridCol w:w="1587"/>
        <w:gridCol w:w="3628"/>
        <w:gridCol w:w="1701"/>
      </w:tblGrid>
      <w:tr>
        <w:trPr>
          <w:cantSplit w:val="true"/>
          <w:tblHeader w:val="true"/>
        </w:trPr>
        <w:tc>
          <w:tcPr>
            <w:tcW w:type="dxa" w:w="249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Outcome</w:t>
            </w:r>
          </w:p>
        </w:tc>
        <w:tc>
          <w:tcPr>
            <w:tcW w:type="dxa" w:w="158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Type</w:t>
            </w:r>
          </w:p>
        </w:tc>
        <w:tc>
          <w:tcPr>
            <w:tcW w:type="dxa" w:w="36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Definition (variables)</w:t>
            </w:r>
          </w:p>
        </w:tc>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Time point</w:t>
            </w:r>
          </w:p>
        </w:tc>
      </w:tr>
      <w:tr>
        <w:trPr>
          <w:cantSplit w:val="true"/>
        </w:trPr>
        <w:tc>
          <w:tcPr>
            <w:tcW w:type="dxa" w:w="2494"/>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Primary: all-cause mortality</w:t>
            </w:r>
          </w:p>
        </w:tc>
        <w:tc>
          <w:tcPr>
            <w:tcW w:type="dxa" w:w="1587"/>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Binary</w:t>
            </w:r>
          </w:p>
        </w:tc>
        <w:tc>
          <w:tcPr>
            <w:tcW w:type="dxa" w:w="362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vital_d28 = 1 (dead)</w:t>
            </w:r>
          </w:p>
        </w:tc>
        <w:tc>
          <w:tcPr>
            <w:tcW w:type="dxa" w:w="1701"/>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Day 28</w:t>
            </w:r>
          </w:p>
        </w:tc>
      </w:tr>
      <w:tr>
        <w:trPr>
          <w:cantSplit w:val="true"/>
        </w:trPr>
        <w:tc>
          <w:tcPr>
            <w:tcW w:type="dxa" w:w="249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Cumulative fluid balance</w:t>
            </w:r>
          </w:p>
        </w:tc>
        <w:tc>
          <w:tcPr>
            <w:tcW w:type="dxa" w:w="158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Continuous (ml/kg)</w:t>
            </w:r>
          </w:p>
        </w:tc>
        <w:tc>
          <w:tcPr>
            <w:tcW w:type="dxa" w:w="362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cfb_kg_d5 = Σ(fin − fout) days 1–5 ÷ weight</w:t>
            </w:r>
          </w:p>
        </w:tc>
        <w:tc>
          <w:tcPr>
            <w:tcW w:type="dxa" w:w="170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Day 5</w:t>
            </w:r>
          </w:p>
        </w:tc>
      </w:tr>
      <w:tr>
        <w:trPr>
          <w:cantSplit w:val="true"/>
        </w:trPr>
        <w:tc>
          <w:tcPr>
            <w:tcW w:type="dxa" w:w="2494"/>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Time to death</w:t>
            </w:r>
          </w:p>
        </w:tc>
        <w:tc>
          <w:tcPr>
            <w:tcW w:type="dxa" w:w="1587"/>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Time-to-event</w:t>
            </w:r>
          </w:p>
        </w:tc>
        <w:tc>
          <w:tcPr>
            <w:tcW w:type="dxa" w:w="362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death_dt − enrol_dt; censored at day 28</w:t>
            </w:r>
          </w:p>
        </w:tc>
        <w:tc>
          <w:tcPr>
            <w:tcW w:type="dxa" w:w="1701"/>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Up to day 28</w:t>
            </w:r>
          </w:p>
        </w:tc>
      </w:tr>
      <w:tr>
        <w:trPr>
          <w:cantSplit w:val="true"/>
        </w:trPr>
        <w:tc>
          <w:tcPr>
            <w:tcW w:type="dxa" w:w="249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[Outcome]</w:t>
            </w:r>
          </w:p>
        </w:tc>
        <w:tc>
          <w:tcPr>
            <w:tcW w:type="dxa" w:w="158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[Type]</w:t>
            </w:r>
          </w:p>
        </w:tc>
        <w:tc>
          <w:tcPr>
            <w:tcW w:type="dxa" w:w="362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[Definition]</w:t>
            </w:r>
          </w:p>
        </w:tc>
        <w:tc>
          <w:tcPr>
            <w:tcW w:type="dxa" w:w="170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[Time point]</w:t>
            </w:r>
          </w:p>
        </w:tc>
      </w:tr>
      <w:tr>
        <w:trPr>
          <w:cantSplit w:val="true"/>
        </w:trPr>
        <w:tc>
          <w:tcPr>
            <w:tcW w:type="dxa" w:w="2494"/>
            <w:tcBorders>
              <w:top w:val="single" w:sz="4" w:color="D5DDE1"/>
              <w:left w:val="single" w:sz="4" w:color="D5DDE1"/>
              <w:bottom w:val="single" w:sz="4" w:color="D5DDE1"/>
              <w:right w:val="single" w:sz="4" w:color="D5DDE1"/>
            </w:tcBorders>
          </w:tcPr>
          <w:p>
            <w:pPr>
              <w:spacing w:after="0" w:line="252" w:lineRule="auto"/>
            </w:pPr>
            <w:r>
              <w:rPr>
                <w:i/>
                <w:color w:val="6B7B84"/>
                <w:sz w:val="19"/>
              </w:rPr>
              <w:t>[Outcome]</w:t>
            </w:r>
          </w:p>
        </w:tc>
        <w:tc>
          <w:tcPr>
            <w:tcW w:type="dxa" w:w="1587"/>
            <w:tcBorders>
              <w:top w:val="single" w:sz="4" w:color="D5DDE1"/>
              <w:left w:val="single" w:sz="4" w:color="D5DDE1"/>
              <w:bottom w:val="single" w:sz="4" w:color="D5DDE1"/>
              <w:right w:val="single" w:sz="4" w:color="D5DDE1"/>
            </w:tcBorders>
          </w:tcPr>
          <w:p>
            <w:pPr>
              <w:spacing w:after="0" w:line="252" w:lineRule="auto"/>
            </w:pPr>
            <w:r>
              <w:rPr>
                <w:i/>
                <w:color w:val="6B7B84"/>
                <w:sz w:val="19"/>
              </w:rPr>
              <w:t>[Type]</w:t>
            </w:r>
          </w:p>
        </w:tc>
        <w:tc>
          <w:tcPr>
            <w:tcW w:type="dxa" w:w="3628"/>
            <w:tcBorders>
              <w:top w:val="single" w:sz="4" w:color="D5DDE1"/>
              <w:left w:val="single" w:sz="4" w:color="D5DDE1"/>
              <w:bottom w:val="single" w:sz="4" w:color="D5DDE1"/>
              <w:right w:val="single" w:sz="4" w:color="D5DDE1"/>
            </w:tcBorders>
          </w:tcPr>
          <w:p>
            <w:pPr>
              <w:spacing w:after="0" w:line="252" w:lineRule="auto"/>
            </w:pPr>
            <w:r>
              <w:rPr>
                <w:i/>
                <w:color w:val="6B7B84"/>
                <w:sz w:val="19"/>
              </w:rPr>
              <w:t>[Definition]</w:t>
            </w:r>
          </w:p>
        </w:tc>
        <w:tc>
          <w:tcPr>
            <w:tcW w:type="dxa" w:w="1701"/>
            <w:tcBorders>
              <w:top w:val="single" w:sz="4" w:color="D5DDE1"/>
              <w:left w:val="single" w:sz="4" w:color="D5DDE1"/>
              <w:bottom w:val="single" w:sz="4" w:color="D5DDE1"/>
              <w:right w:val="single" w:sz="4" w:color="D5DDE1"/>
            </w:tcBorders>
          </w:tcPr>
          <w:p>
            <w:pPr>
              <w:spacing w:after="0" w:line="252" w:lineRule="auto"/>
            </w:pPr>
            <w:r>
              <w:rPr>
                <w:i/>
                <w:color w:val="6B7B84"/>
                <w:sz w:val="19"/>
              </w:rPr>
              <w:t>[Time point]</w:t>
            </w:r>
          </w:p>
        </w:tc>
      </w:tr>
    </w:tbl>
    <w:p>
      <w:pPr>
        <w:pStyle w:val="Heading1"/>
      </w:pPr>
      <w:r>
        <w:t>3  Analysis populations</w:t>
      </w:r>
    </w:p>
    <w:p>
      <w:pPr>
        <w:pStyle w:val="Guidance"/>
      </w:pPr>
      <w:r>
        <w:rPr>
          <w:i/>
        </w:rPr>
        <w:t>Who is included in each analysis. Trials: the intention-to-treat (ITT) population is everyone randomised, analysed in the group they were allocated to. Observational studies: everyone meeting the eligibility criteria, with reasons for any exclusion in the flow diagram.</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268"/>
        <w:gridCol w:w="4536"/>
        <w:gridCol w:w="2608"/>
      </w:tblGrid>
      <w:tr>
        <w:trPr>
          <w:cantSplit w:val="true"/>
          <w:tblHeader w:val="true"/>
        </w:trPr>
        <w:tc>
          <w:tcPr>
            <w:tcW w:type="dxa" w:w="226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Population</w:t>
            </w:r>
          </w:p>
        </w:tc>
        <w:tc>
          <w:tcPr>
            <w:tcW w:type="dxa" w:w="45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Definition</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Used for</w:t>
            </w:r>
          </w:p>
        </w:tc>
      </w:tr>
      <w:tr>
        <w:trPr>
          <w:cantSplit w:val="true"/>
        </w:trPr>
        <w:tc>
          <w:tcPr>
            <w:tcW w:type="dxa" w:w="2268"/>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Intention-to-treat (ITT)</w:t>
            </w:r>
          </w:p>
        </w:tc>
        <w:tc>
          <w:tcPr>
            <w:tcW w:type="dxa" w:w="4535"/>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[All randomised participants, as allocated]</w:t>
            </w:r>
          </w:p>
        </w:tc>
        <w:tc>
          <w:tcPr>
            <w:tcW w:type="dxa" w:w="260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[Primary analysis]</w:t>
            </w:r>
          </w:p>
        </w:tc>
      </w:tr>
      <w:tr>
        <w:trPr>
          <w:cantSplit w:val="true"/>
        </w:trPr>
        <w:tc>
          <w:tcPr>
            <w:tcW w:type="dxa" w:w="226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Per-protocol</w:t>
            </w:r>
          </w:p>
        </w:tc>
        <w:tc>
          <w:tcPr>
            <w:tcW w:type="dxa" w:w="45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[Participants who received the allocated strategy as defined in the protocol]</w:t>
            </w:r>
          </w:p>
        </w:tc>
        <w:tc>
          <w:tcPr>
            <w:tcW w:type="dxa" w:w="260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[Sensitivity analysis]</w:t>
            </w:r>
          </w:p>
        </w:tc>
      </w:tr>
      <w:tr>
        <w:trPr>
          <w:cantSplit w:val="true"/>
        </w:trPr>
        <w:tc>
          <w:tcPr>
            <w:tcW w:type="dxa" w:w="2268"/>
            <w:tcBorders>
              <w:top w:val="single" w:sz="4" w:color="D5DDE1"/>
              <w:left w:val="single" w:sz="4" w:color="D5DDE1"/>
              <w:bottom w:val="single" w:sz="4" w:color="D5DDE1"/>
              <w:right w:val="single" w:sz="4" w:color="D5DDE1"/>
            </w:tcBorders>
          </w:tcPr>
          <w:p>
            <w:pPr>
              <w:spacing w:after="0" w:line="252" w:lineRule="auto"/>
            </w:pPr>
            <w:r>
              <w:rPr>
                <w:b/>
                <w:color w:val="04242F"/>
                <w:sz w:val="19"/>
              </w:rPr>
              <w:t>Safety</w:t>
            </w:r>
          </w:p>
        </w:tc>
        <w:tc>
          <w:tcPr>
            <w:tcW w:type="dxa" w:w="4535"/>
            <w:tcBorders>
              <w:top w:val="single" w:sz="4" w:color="D5DDE1"/>
              <w:left w:val="single" w:sz="4" w:color="D5DDE1"/>
              <w:bottom w:val="single" w:sz="4" w:color="D5DDE1"/>
              <w:right w:val="single" w:sz="4" w:color="D5DDE1"/>
            </w:tcBorders>
          </w:tcPr>
          <w:p>
            <w:pPr>
              <w:spacing w:after="0" w:line="252" w:lineRule="auto"/>
            </w:pPr>
            <w:r>
              <w:rPr>
                <w:i/>
                <w:color w:val="6B7B84"/>
                <w:sz w:val="19"/>
              </w:rPr>
              <w:t>[All participants who received any study intervention, as treated]</w:t>
            </w:r>
          </w:p>
        </w:tc>
        <w:tc>
          <w:tcPr>
            <w:tcW w:type="dxa" w:w="2608"/>
            <w:tcBorders>
              <w:top w:val="single" w:sz="4" w:color="D5DDE1"/>
              <w:left w:val="single" w:sz="4" w:color="D5DDE1"/>
              <w:bottom w:val="single" w:sz="4" w:color="D5DDE1"/>
              <w:right w:val="single" w:sz="4" w:color="D5DDE1"/>
            </w:tcBorders>
          </w:tcPr>
          <w:p>
            <w:pPr>
              <w:spacing w:after="0" w:line="252" w:lineRule="auto"/>
            </w:pPr>
            <w:r>
              <w:rPr>
                <w:i/>
                <w:color w:val="6B7B84"/>
                <w:sz w:val="19"/>
              </w:rPr>
              <w:t>[Adverse events]</w:t>
            </w:r>
          </w:p>
        </w:tc>
      </w:tr>
    </w:tbl>
    <w:p>
      <w:pPr>
        <w:pStyle w:val="Heading1"/>
      </w:pPr>
      <w:r>
        <w:t>4  Descriptive analysis (Table 1)</w:t>
      </w:r>
    </w:p>
    <w:p>
      <w:pPr>
        <w:pStyle w:val="Guidance"/>
      </w:pPr>
      <w:r>
        <w:rPr>
          <w:i/>
        </w:rPr>
        <w:t>Describe baseline characteristics by group (see the Table 1 shell in section 13). Continuous variables: mean (SD) if roughly symmetric, otherwise median (IQR). Categorical: n (%). In a trial, do NOT test baseline differences with p-values: any difference is due to chance. Report the number with missing data for each variable.</w:t>
      </w:r>
    </w:p>
    <w:p>
      <w:pPr>
        <w:pStyle w:val="Example"/>
      </w:pPr>
      <w:r>
        <w:rPr>
          <w:b/>
          <w:i w:val="0"/>
          <w:color w:val="055F56"/>
        </w:rPr>
        <w:t xml:space="preserve">Example: </w:t>
      </w:r>
      <w:r>
        <w:rPr>
          <w:i/>
        </w:rPr>
        <w:t>Age, sex, weight, source of infection, comorbidities, SOFA score and lactate summarised per arm; lactate is skewed, so median (IQR).</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680"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[Our descriptive plan]</w:t>
            </w:r>
          </w:p>
        </w:tc>
      </w:tr>
    </w:tbl>
    <w:p>
      <w:pPr>
        <w:spacing w:after="0" w:line="80" w:lineRule="exact"/>
      </w:pPr>
    </w:p>
    <w:p>
      <w:pPr>
        <w:pStyle w:val="Heading1"/>
      </w:pPr>
      <w:r>
        <w:t>5  Primary analysis</w:t>
      </w:r>
    </w:p>
    <w:p>
      <w:pPr>
        <w:pStyle w:val="Guidance"/>
      </w:pPr>
      <w:r>
        <w:rPr>
          <w:i/>
        </w:rPr>
        <w:t>One analysis, fully specified: the test or model, the effect measure with its 95% confidence interval, any adjustment, and the significance level. The p-value supports the effect estimate; it does not replace it.</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041"/>
        <w:gridCol w:w="7371"/>
      </w:tblGrid>
      <w:tr>
        <w:tc>
          <w:tcPr>
            <w:tcW w:type="dxa" w:w="2041"/>
          </w:tcPr>
          <w:p>
            <w:pPr>
              <w:spacing w:after="0"/>
            </w:pPr>
            <w:r>
              <w:rPr>
                <w:b/>
                <w:color w:val="04242F"/>
                <w:sz w:val="20"/>
              </w:rPr>
              <w:t>Outcome:</w:t>
            </w:r>
          </w:p>
        </w:tc>
        <w:tc>
          <w:tcPr>
            <w:tcW w:type="dxa" w:w="7370"/>
          </w:tcPr>
          <w:p>
            <w:pPr>
              <w:spacing w:after="0"/>
            </w:pPr>
            <w:r>
              <w:rPr>
                <w:i/>
                <w:color w:val="6B7B84"/>
                <w:sz w:val="20"/>
              </w:rPr>
              <w:t>[Primary outcome and population]</w:t>
            </w:r>
          </w:p>
        </w:tc>
      </w:tr>
      <w:tr>
        <w:tc>
          <w:tcPr>
            <w:tcW w:type="dxa" w:w="2041"/>
          </w:tcPr>
          <w:p>
            <w:pPr>
              <w:spacing w:after="0"/>
            </w:pPr>
            <w:r>
              <w:rPr>
                <w:b/>
                <w:color w:val="04242F"/>
                <w:sz w:val="20"/>
              </w:rPr>
              <w:t>Method:</w:t>
            </w:r>
          </w:p>
        </w:tc>
        <w:tc>
          <w:tcPr>
            <w:tcW w:type="dxa" w:w="7370"/>
          </w:tcPr>
          <w:p>
            <w:pPr>
              <w:spacing w:after="0"/>
            </w:pPr>
            <w:r>
              <w:rPr>
                <w:i/>
                <w:color w:val="6B7B84"/>
                <w:sz w:val="20"/>
              </w:rPr>
              <w:t>[Test or model]</w:t>
            </w:r>
          </w:p>
        </w:tc>
      </w:tr>
      <w:tr>
        <w:tc>
          <w:tcPr>
            <w:tcW w:type="dxa" w:w="2041"/>
          </w:tcPr>
          <w:p>
            <w:pPr>
              <w:spacing w:after="0"/>
            </w:pPr>
            <w:r>
              <w:rPr>
                <w:b/>
                <w:color w:val="04242F"/>
                <w:sz w:val="20"/>
              </w:rPr>
              <w:t>Effect measure:</w:t>
            </w:r>
          </w:p>
        </w:tc>
        <w:tc>
          <w:tcPr>
            <w:tcW w:type="dxa" w:w="7370"/>
          </w:tcPr>
          <w:p>
            <w:pPr>
              <w:spacing w:after="0"/>
            </w:pPr>
            <w:r>
              <w:rPr>
                <w:i/>
                <w:color w:val="6B7B84"/>
                <w:sz w:val="20"/>
              </w:rPr>
              <w:t>[e.g. risk ratio, risk difference, odds ratio, hazard ratio, mean difference]</w:t>
            </w:r>
          </w:p>
        </w:tc>
      </w:tr>
      <w:tr>
        <w:tc>
          <w:tcPr>
            <w:tcW w:type="dxa" w:w="2041"/>
          </w:tcPr>
          <w:p>
            <w:pPr>
              <w:spacing w:after="0"/>
            </w:pPr>
            <w:r>
              <w:rPr>
                <w:b/>
                <w:color w:val="04242F"/>
                <w:sz w:val="20"/>
              </w:rPr>
              <w:t>Adjustment:</w:t>
            </w:r>
          </w:p>
        </w:tc>
        <w:tc>
          <w:tcPr>
            <w:tcW w:type="dxa" w:w="7370"/>
          </w:tcPr>
          <w:p>
            <w:pPr>
              <w:spacing w:after="0"/>
            </w:pPr>
            <w:r>
              <w:rPr>
                <w:i/>
                <w:color w:val="6B7B84"/>
                <w:sz w:val="20"/>
              </w:rPr>
              <w:t>[Variables, and why]</w:t>
            </w:r>
          </w:p>
        </w:tc>
      </w:tr>
      <w:tr>
        <w:tc>
          <w:tcPr>
            <w:tcW w:type="dxa" w:w="2041"/>
          </w:tcPr>
          <w:p>
            <w:pPr>
              <w:spacing w:after="0"/>
            </w:pPr>
            <w:r>
              <w:rPr>
                <w:b/>
                <w:color w:val="04242F"/>
                <w:sz w:val="20"/>
              </w:rPr>
              <w:t>Significance:</w:t>
            </w:r>
          </w:p>
        </w:tc>
        <w:tc>
          <w:tcPr>
            <w:tcW w:type="dxa" w:w="7370"/>
          </w:tcPr>
          <w:p>
            <w:pPr>
              <w:spacing w:after="0"/>
            </w:pPr>
            <w:r>
              <w:rPr>
                <w:i/>
                <w:color w:val="6B7B84"/>
                <w:sz w:val="20"/>
              </w:rPr>
              <w:t>[Two-sided, 5% level]</w:t>
            </w:r>
          </w:p>
        </w:tc>
      </w:tr>
    </w:tbl>
    <w:p>
      <w:pPr>
        <w:spacing w:after="0" w:line="80" w:lineRule="exact"/>
      </w:pPr>
    </w:p>
    <w:p>
      <w:pPr>
        <w:pStyle w:val="Example"/>
      </w:pPr>
      <w:r>
        <w:rPr>
          <w:b/>
          <w:i w:val="0"/>
          <w:color w:val="055F56"/>
        </w:rPr>
        <w:t xml:space="preserve">Example: </w:t>
      </w:r>
      <w:r>
        <w:rPr>
          <w:i/>
        </w:rPr>
        <w:t>28-day mortality in the ITT population compared with a chi-square test. Effect reported as risk ratio and risk difference with 95% CI. Supportive analysis: logistic regression adjusted for the stratification variable (baseline lactate &gt; 4 mmol/L), reported as odds ratio (95% CI).</w:t>
      </w:r>
    </w:p>
    <w:p>
      <w:pPr>
        <w:pStyle w:val="Heading1"/>
      </w:pPr>
      <w:r>
        <w:t>6  Secondary analyses</w:t>
      </w:r>
    </w:p>
    <w:p>
      <w:pPr>
        <w:pStyle w:val="Guidance"/>
      </w:pPr>
      <w:r>
        <w:rPr>
          <w:i/>
        </w:rPr>
        <w:t>For each secondary outcome: summary, test or model and effect measure. Say clearly that secondary results are supportive or exploratory.</w:t>
      </w:r>
    </w:p>
    <w:p>
      <w:pPr>
        <w:pStyle w:val="Example"/>
      </w:pPr>
      <w:r>
        <w:rPr>
          <w:b/>
          <w:i w:val="0"/>
          <w:color w:val="055F56"/>
        </w:rPr>
        <w:t xml:space="preserve">Example: </w:t>
      </w:r>
      <w:r>
        <w:rPr>
          <w:i/>
        </w:rPr>
        <w:t>Fluid balance: median (IQR) per arm, Mann–Whitney U test, difference in medians with 95% CI. Time to death: Kaplan–Meier curves, log-rank test, Cox model hazard ratio (95% CI), proportional hazards checked. Renal replacement therapy: risk ratio (95% CI).</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793"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[Our secondary analyses]</w:t>
            </w:r>
          </w:p>
        </w:tc>
      </w:tr>
    </w:tbl>
    <w:p>
      <w:pPr>
        <w:spacing w:after="0" w:line="80" w:lineRule="exact"/>
      </w:pPr>
    </w:p>
    <w:p>
      <w:pPr>
        <w:pStyle w:val="Heading1"/>
      </w:pPr>
      <w:r>
        <w:t>7  Confounders and adjustment</w:t>
      </w:r>
    </w:p>
    <w:p>
      <w:pPr>
        <w:pStyle w:val="Guidance"/>
      </w:pPr>
      <w:r>
        <w:rPr>
          <w:i/>
        </w:rPr>
        <w:t>Trials: adjust only for stratification variables and a few pre-specified strong prognostic factors. Observational study: list the confounders chosen IN ADVANCE from subject knowledge (a simple causal diagram helps), not by stepwise selection. Keep about 10 outcome events per variable in the model.</w:t>
      </w:r>
    </w:p>
    <w:p>
      <w:pPr>
        <w:pStyle w:val="Example"/>
      </w:pPr>
      <w:r>
        <w:rPr>
          <w:b/>
          <w:i w:val="0"/>
          <w:color w:val="055F56"/>
        </w:rPr>
        <w:t xml:space="preserve">Example: </w:t>
      </w:r>
      <w:r>
        <w:rPr>
          <w:i/>
        </w:rPr>
        <w:t>Observational version of the running example: sicker patients receive more fluid AND die more (confounding by indication), so the model adjusts for age, SOFA score, lactate and source of infection. With about 68 expected deaths, the model can take at most 6–7 variables.</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680"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[Our adjustment plan]</w:t>
            </w:r>
          </w:p>
        </w:tc>
      </w:tr>
    </w:tbl>
    <w:p>
      <w:pPr>
        <w:spacing w:after="0" w:line="80" w:lineRule="exact"/>
      </w:pPr>
    </w:p>
    <w:p>
      <w:pPr>
        <w:pStyle w:val="Heading1"/>
      </w:pPr>
      <w:r>
        <w:t>8  Subgroups and interaction (pre-specified)</w:t>
      </w:r>
    </w:p>
    <w:p>
      <w:pPr>
        <w:pStyle w:val="Guidance"/>
      </w:pPr>
      <w:r>
        <w:rPr>
          <w:i/>
        </w:rPr>
        <w:t>List only a few subgroups, with the expected direction and a reason. Test whether the effect differs with an interaction test, not by comparing p-values in each subgroup. Present a forest plot and call the results exploratory.</w:t>
      </w:r>
    </w:p>
    <w:p>
      <w:pPr>
        <w:pStyle w:val="Example"/>
      </w:pPr>
      <w:r>
        <w:rPr>
          <w:b/>
          <w:i w:val="0"/>
          <w:color w:val="055F56"/>
        </w:rPr>
        <w:t xml:space="preserve">Example: </w:t>
      </w:r>
      <w:r>
        <w:rPr>
          <w:i/>
        </w:rPr>
        <w:t>Baseline lactate (≤ 4 vs &gt; 4 mmol/L) and SOFA score (≤ 10 vs &gt; 10): treatment × subgroup interaction term in the logistic model.</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567"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[Our subgroups]</w:t>
            </w:r>
          </w:p>
        </w:tc>
      </w:tr>
    </w:tbl>
    <w:p>
      <w:pPr>
        <w:spacing w:after="0" w:line="80" w:lineRule="exact"/>
      </w:pPr>
    </w:p>
    <w:p>
      <w:pPr>
        <w:pStyle w:val="Heading1"/>
      </w:pPr>
      <w:r>
        <w:t>9  Multiple comparisons</w:t>
      </w:r>
    </w:p>
    <w:p>
      <w:pPr>
        <w:pStyle w:val="Guidance"/>
      </w:pPr>
      <w:r>
        <w:rPr>
          <w:i/>
        </w:rPr>
        <w:t>Many tests mean some “significant” results by chance (the jelly-bean problem). Protect yourself with ONE primary outcome. Say how secondary outcomes are handled: interpreted as exploratory without adjustment, or adjusted (e.g. Holm or Bonferroni).</w:t>
      </w:r>
    </w:p>
    <w:p>
      <w:pPr>
        <w:pStyle w:val="Example"/>
      </w:pPr>
      <w:r>
        <w:rPr>
          <w:b/>
          <w:i w:val="0"/>
          <w:color w:val="055F56"/>
        </w:rPr>
        <w:t xml:space="preserve">Example: </w:t>
      </w:r>
      <w:r>
        <w:rPr>
          <w:i/>
        </w:rPr>
        <w:t>One primary outcome, tested at 5%. Secondary outcomes reported with 95% CIs and interpreted as exploratory; no adjustment for multiplicity.</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510"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[Our approach]</w:t>
            </w:r>
          </w:p>
        </w:tc>
      </w:tr>
    </w:tbl>
    <w:p>
      <w:pPr>
        <w:spacing w:after="0" w:line="80" w:lineRule="exact"/>
      </w:pPr>
    </w:p>
    <w:p>
      <w:pPr>
        <w:pStyle w:val="Heading1"/>
      </w:pPr>
      <w:r>
        <w:t>10  Missing data</w:t>
      </w:r>
    </w:p>
    <w:p>
      <w:pPr>
        <w:pStyle w:val="Guidance"/>
      </w:pPr>
      <w:r>
        <w:rPr>
          <w:i/>
        </w:rPr>
        <w:t>Plan four things. (1) How missingness will be assessed and reported: n (%) missing per variable and by group. (2) The likely mechanism: missing completely at random (MCAR), at random given observed data (MAR), or not at random (MNAR). (3) The main approach: complete-case analysis, or multiple imputation if more than about 5% is missing and MAR is plausible. (4) A sensitivity analysis that tests the assumption.</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041"/>
        <w:gridCol w:w="7371"/>
      </w:tblGrid>
      <w:tr>
        <w:tc>
          <w:tcPr>
            <w:tcW w:type="dxa" w:w="2041"/>
          </w:tcPr>
          <w:p>
            <w:pPr>
              <w:spacing w:after="0"/>
            </w:pPr>
            <w:r>
              <w:rPr>
                <w:b/>
                <w:color w:val="04242F"/>
                <w:sz w:val="20"/>
              </w:rPr>
              <w:t>Assessment:</w:t>
            </w:r>
          </w:p>
        </w:tc>
        <w:tc>
          <w:tcPr>
            <w:tcW w:type="dxa" w:w="7370"/>
          </w:tcPr>
          <w:p>
            <w:pPr>
              <w:spacing w:after="0"/>
            </w:pPr>
            <w:r>
              <w:rPr>
                <w:i/>
                <w:color w:val="6B7B84"/>
                <w:sz w:val="20"/>
              </w:rPr>
              <w:t>[How missingness is described and explored]</w:t>
            </w:r>
          </w:p>
        </w:tc>
      </w:tr>
      <w:tr>
        <w:tc>
          <w:tcPr>
            <w:tcW w:type="dxa" w:w="2041"/>
          </w:tcPr>
          <w:p>
            <w:pPr>
              <w:spacing w:after="0"/>
            </w:pPr>
            <w:r>
              <w:rPr>
                <w:b/>
                <w:color w:val="04242F"/>
                <w:sz w:val="20"/>
              </w:rPr>
              <w:t>Main approach:</w:t>
            </w:r>
          </w:p>
        </w:tc>
        <w:tc>
          <w:tcPr>
            <w:tcW w:type="dxa" w:w="7370"/>
          </w:tcPr>
          <w:p>
            <w:pPr>
              <w:spacing w:after="0"/>
            </w:pPr>
            <w:r>
              <w:rPr>
                <w:i/>
                <w:color w:val="6B7B84"/>
                <w:sz w:val="20"/>
              </w:rPr>
              <w:t>[Complete-case / multiple imputation (variables in the model, number of imputations)]</w:t>
            </w:r>
          </w:p>
        </w:tc>
      </w:tr>
      <w:tr>
        <w:tc>
          <w:tcPr>
            <w:tcW w:type="dxa" w:w="2041"/>
          </w:tcPr>
          <w:p>
            <w:pPr>
              <w:spacing w:after="0"/>
            </w:pPr>
            <w:r>
              <w:rPr>
                <w:b/>
                <w:color w:val="04242F"/>
                <w:sz w:val="20"/>
              </w:rPr>
              <w:t>Sensitivity:</w:t>
            </w:r>
          </w:p>
        </w:tc>
        <w:tc>
          <w:tcPr>
            <w:tcW w:type="dxa" w:w="7370"/>
          </w:tcPr>
          <w:p>
            <w:pPr>
              <w:spacing w:after="0"/>
            </w:pPr>
            <w:r>
              <w:rPr>
                <w:i/>
                <w:color w:val="6B7B84"/>
                <w:sz w:val="20"/>
              </w:rPr>
              <w:t>[e.g. best-case / worst-case, or a different imputation model]</w:t>
            </w:r>
          </w:p>
        </w:tc>
      </w:tr>
    </w:tbl>
    <w:p>
      <w:pPr>
        <w:spacing w:after="0" w:line="80" w:lineRule="exact"/>
      </w:pPr>
    </w:p>
    <w:p>
      <w:pPr>
        <w:pStyle w:val="Example"/>
      </w:pPr>
      <w:r>
        <w:rPr>
          <w:b/>
          <w:i w:val="0"/>
          <w:color w:val="055F56"/>
        </w:rPr>
        <w:t xml:space="preserve">Example: </w:t>
      </w:r>
      <w:r>
        <w:rPr>
          <w:i/>
        </w:rPr>
        <w:t>Vital status at day 28 is expected to be missing for &lt; 2% (phone follow-up). Main analysis: complete case. Sensitivity: missing patients assumed dead (worst case) and alive (best case). Baseline lactate, if &gt; 5% missing, multiply imputed (20 imputations) from age, SOFA and arm.</w:t>
      </w:r>
    </w:p>
    <w:p>
      <w:pPr>
        <w:pStyle w:val="Heading1"/>
      </w:pPr>
      <w:r>
        <w:t>11  Sample size</w:t>
      </w:r>
    </w:p>
    <w:p>
      <w:pPr>
        <w:pStyle w:val="Guidance"/>
      </w:pPr>
      <w:r>
        <w:rPr>
          <w:i/>
        </w:rPr>
        <w:t>Copy the calculation from the protocol and state every assumption with its source: expected value in the comparison group, smallest important difference, power, significance level, allowance for loss.</w:t>
      </w:r>
    </w:p>
    <w:p>
      <w:pPr>
        <w:pStyle w:val="Example"/>
      </w:pPr>
      <w:r>
        <w:rPr>
          <w:b/>
          <w:i w:val="0"/>
          <w:color w:val="055F56"/>
        </w:rPr>
        <w:t xml:space="preserve">Example: </w:t>
      </w:r>
      <w:r>
        <w:rPr>
          <w:i/>
        </w:rPr>
        <w:t>40% vs 30% mortality, 80% power, two-sided 5%: 356 per group, about 790 in total with 10% loss. The pilot (60 patients) is not powered for mortality; it estimates recruitment and adherence.</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567"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[Our sample size]</w:t>
            </w:r>
          </w:p>
        </w:tc>
      </w:tr>
    </w:tbl>
    <w:p>
      <w:pPr>
        <w:spacing w:after="0" w:line="80" w:lineRule="exact"/>
      </w:pPr>
    </w:p>
    <w:p>
      <w:pPr>
        <w:pStyle w:val="Heading1"/>
      </w:pPr>
      <w:r>
        <w:t>12  Software</w:t>
      </w:r>
    </w:p>
    <w:p>
      <w:pPr>
        <w:pStyle w:val="Guidance"/>
      </w:pPr>
      <w:r>
        <w:rPr>
          <w:i/>
        </w:rPr>
        <w:t>Name the software and version, and where the analysis code will be kept.</w:t>
      </w:r>
    </w:p>
    <w:p>
      <w:r>
        <w:rPr>
          <w:i/>
          <w:color w:val="6B7B84"/>
        </w:rPr>
        <w:t>[e.g. R version 4.x (packages ...) / Stata / SPSS; code stored in [location] with version control]</w:t>
      </w:r>
    </w:p>
    <w:p>
      <w:pPr>
        <w:pStyle w:val="Heading1"/>
      </w:pPr>
      <w:r>
        <w:t>13  Table and figure shells</w:t>
      </w:r>
    </w:p>
    <w:p>
      <w:pPr>
        <w:pStyle w:val="Guidance"/>
      </w:pPr>
      <w:r>
        <w:rPr>
          <w:i/>
        </w:rPr>
        <w:t>Draw the empty tables and figures now. They show exactly what will be calculated, and they become the tables of the paper. Use n (%) and median (IQR) with units, n per column and footnotes.</w:t>
      </w:r>
    </w:p>
    <w:p>
      <w:pPr>
        <w:pStyle w:val="Heading3"/>
      </w:pPr>
      <w:r>
        <w:t>Table 1. Baseline characteristics by group</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4309"/>
        <w:gridCol w:w="2551"/>
        <w:gridCol w:w="2551"/>
      </w:tblGrid>
      <w:tr>
        <w:trPr>
          <w:cantSplit w:val="true"/>
          <w:tblHeader w:val="true"/>
        </w:trPr>
        <w:tc>
          <w:tcPr>
            <w:tcW w:type="dxa" w:w="43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Characteristic</w:t>
            </w:r>
          </w:p>
        </w:tc>
        <w:tc>
          <w:tcPr>
            <w:tcW w:type="dxa" w:w="2551"/>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8"/>
              </w:rPr>
              <w:t>Restrictive (n = __)</w:t>
            </w:r>
          </w:p>
        </w:tc>
        <w:tc>
          <w:tcPr>
            <w:tcW w:type="dxa" w:w="2551"/>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8"/>
              </w:rPr>
              <w:t>Usual care (n = __)</w:t>
            </w:r>
          </w:p>
        </w:tc>
      </w:tr>
      <w:tr>
        <w:trPr>
          <w:cantSplit w:val="true"/>
        </w:trPr>
        <w:tc>
          <w:tcPr>
            <w:tcW w:type="dxa" w:w="4309"/>
            <w:tcBorders>
              <w:top w:val="single" w:sz="4" w:color="D5DDE1"/>
              <w:left w:val="single" w:sz="4" w:color="D5DDE1"/>
              <w:bottom w:val="single" w:sz="4" w:color="D5DDE1"/>
              <w:right w:val="single" w:sz="4" w:color="D5DDE1"/>
            </w:tcBorders>
          </w:tcPr>
          <w:p>
            <w:pPr>
              <w:keepNext/>
              <w:spacing w:after="0" w:line="252" w:lineRule="auto"/>
            </w:pPr>
            <w:r>
              <w:rPr>
                <w:sz w:val="18"/>
              </w:rPr>
              <w:t>Age, years, mean (SD)</w:t>
            </w:r>
          </w:p>
        </w:tc>
        <w:tc>
          <w:tcPr>
            <w:tcW w:type="dxa" w:w="2551"/>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2551"/>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4309"/>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Female sex, n (%)</w:t>
            </w:r>
          </w:p>
        </w:tc>
        <w:tc>
          <w:tcPr>
            <w:tcW w:type="dxa" w:w="2551"/>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2551"/>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r>
      <w:tr>
        <w:trPr>
          <w:cantSplit w:val="true"/>
        </w:trPr>
        <w:tc>
          <w:tcPr>
            <w:tcW w:type="dxa" w:w="4309"/>
            <w:tcBorders>
              <w:top w:val="single" w:sz="4" w:color="D5DDE1"/>
              <w:left w:val="single" w:sz="4" w:color="D5DDE1"/>
              <w:bottom w:val="single" w:sz="4" w:color="D5DDE1"/>
              <w:right w:val="single" w:sz="4" w:color="D5DDE1"/>
            </w:tcBorders>
          </w:tcPr>
          <w:p>
            <w:pPr>
              <w:keepNext/>
              <w:spacing w:after="0" w:line="252" w:lineRule="auto"/>
            </w:pPr>
            <w:r>
              <w:rPr>
                <w:sz w:val="18"/>
              </w:rPr>
              <w:t>SOFA score, median (IQR)</w:t>
            </w:r>
          </w:p>
        </w:tc>
        <w:tc>
          <w:tcPr>
            <w:tcW w:type="dxa" w:w="2551"/>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2551"/>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4309"/>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Lactate, mmol/L, median (IQR)</w:t>
            </w:r>
          </w:p>
        </w:tc>
        <w:tc>
          <w:tcPr>
            <w:tcW w:type="dxa" w:w="2551"/>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2551"/>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r>
      <w:tr>
        <w:trPr>
          <w:cantSplit w:val="true"/>
        </w:trPr>
        <w:tc>
          <w:tcPr>
            <w:tcW w:type="dxa" w:w="4309"/>
            <w:tcBorders>
              <w:top w:val="single" w:sz="4" w:color="D5DDE1"/>
              <w:left w:val="single" w:sz="4" w:color="D5DDE1"/>
              <w:bottom w:val="single" w:sz="4" w:color="D5DDE1"/>
              <w:right w:val="single" w:sz="4" w:color="D5DDE1"/>
            </w:tcBorders>
          </w:tcPr>
          <w:p>
            <w:pPr>
              <w:keepNext/>
              <w:spacing w:after="0" w:line="252" w:lineRule="auto"/>
            </w:pPr>
            <w:r>
              <w:rPr>
                <w:sz w:val="18"/>
              </w:rPr>
              <w:t>Source of infection: lung, n (%)</w:t>
            </w:r>
          </w:p>
        </w:tc>
        <w:tc>
          <w:tcPr>
            <w:tcW w:type="dxa" w:w="2551"/>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2551"/>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4309"/>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[Characteristic, unit, summary]</w:t>
            </w:r>
          </w:p>
        </w:tc>
        <w:tc>
          <w:tcPr>
            <w:tcW w:type="dxa" w:w="2551"/>
            <w:tcBorders>
              <w:top w:val="single" w:sz="4" w:color="D5DDE1"/>
              <w:left w:val="single" w:sz="4" w:color="D5DDE1"/>
              <w:bottom w:val="single" w:sz="4" w:color="D5DDE1"/>
              <w:right w:val="single" w:sz="4" w:color="D5DDE1"/>
            </w:tcBorders>
            <w:shd w:val="clear" w:color="auto" w:fill="F5F9FA"/>
          </w:tcPr>
          <w:p>
            <w:pPr>
              <w:spacing w:after="0" w:line="252" w:lineRule="auto"/>
              <w:jc w:val="center"/>
            </w:pPr>
          </w:p>
        </w:tc>
        <w:tc>
          <w:tcPr>
            <w:tcW w:type="dxa" w:w="2551"/>
            <w:tcBorders>
              <w:top w:val="single" w:sz="4" w:color="D5DDE1"/>
              <w:left w:val="single" w:sz="4" w:color="D5DDE1"/>
              <w:bottom w:val="single" w:sz="4" w:color="D5DDE1"/>
              <w:right w:val="single" w:sz="4" w:color="D5DDE1"/>
            </w:tcBorders>
            <w:shd w:val="clear" w:color="auto" w:fill="F5F9FA"/>
          </w:tcPr>
          <w:p>
            <w:pPr>
              <w:spacing w:after="0" w:line="252" w:lineRule="auto"/>
              <w:jc w:val="center"/>
            </w:pPr>
          </w:p>
        </w:tc>
      </w:tr>
    </w:tbl>
    <w:p>
      <w:pPr>
        <w:pStyle w:val="NeudataSmall"/>
      </w:pPr>
      <w:r>
        <w:t>Footnote: SD, standard deviation; IQR, interquartile range. Missing data: [n] for lactate.</w:t>
      </w:r>
    </w:p>
    <w:p>
      <w:pPr>
        <w:spacing w:after="0" w:line="80" w:lineRule="exact"/>
      </w:pPr>
    </w:p>
    <w:p>
      <w:pPr>
        <w:pStyle w:val="Heading3"/>
      </w:pPr>
      <w:r>
        <w:t>Table 2. Primary and secondary outcomes</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3628"/>
        <w:gridCol w:w="1360"/>
        <w:gridCol w:w="1360"/>
        <w:gridCol w:w="2154"/>
        <w:gridCol w:w="907"/>
      </w:tblGrid>
      <w:tr>
        <w:trPr>
          <w:cantSplit w:val="true"/>
          <w:tblHeader w:val="true"/>
        </w:trPr>
        <w:tc>
          <w:tcPr>
            <w:tcW w:type="dxa" w:w="36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Outcome</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8"/>
              </w:rPr>
              <w:t>Restrictive</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8"/>
              </w:rPr>
              <w:t>Usual care</w:t>
            </w:r>
          </w:p>
        </w:tc>
        <w:tc>
          <w:tcPr>
            <w:tcW w:type="dxa" w:w="215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8"/>
              </w:rPr>
              <w:t>Effect (95% CI)</w:t>
            </w:r>
          </w:p>
        </w:tc>
        <w:tc>
          <w:tcPr>
            <w:tcW w:type="dxa" w:w="907"/>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8"/>
              </w:rPr>
              <w:t>p</w:t>
            </w:r>
          </w:p>
        </w:tc>
      </w:tr>
      <w:tr>
        <w:trPr>
          <w:cantSplit w:val="true"/>
        </w:trPr>
        <w:tc>
          <w:tcPr>
            <w:tcW w:type="dxa" w:w="3628"/>
            <w:tcBorders>
              <w:top w:val="single" w:sz="4" w:color="D5DDE1"/>
              <w:left w:val="single" w:sz="4" w:color="D5DDE1"/>
              <w:bottom w:val="single" w:sz="4" w:color="D5DDE1"/>
              <w:right w:val="single" w:sz="4" w:color="D5DDE1"/>
            </w:tcBorders>
          </w:tcPr>
          <w:p>
            <w:pPr>
              <w:keepNext/>
              <w:spacing w:after="0" w:line="252" w:lineRule="auto"/>
            </w:pPr>
            <w:r>
              <w:rPr>
                <w:sz w:val="18"/>
              </w:rPr>
              <w:t>28-day mortality, n (%)</w:t>
            </w:r>
          </w:p>
        </w:tc>
        <w:tc>
          <w:tcPr>
            <w:tcW w:type="dxa" w:w="1361"/>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361"/>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2154"/>
            <w:tcBorders>
              <w:top w:val="single" w:sz="4" w:color="D5DDE1"/>
              <w:left w:val="single" w:sz="4" w:color="D5DDE1"/>
              <w:bottom w:val="single" w:sz="4" w:color="D5DDE1"/>
              <w:right w:val="single" w:sz="4" w:color="D5DDE1"/>
            </w:tcBorders>
          </w:tcPr>
          <w:p>
            <w:pPr>
              <w:keepNext/>
              <w:spacing w:after="0" w:line="252" w:lineRule="auto"/>
              <w:jc w:val="center"/>
            </w:pPr>
            <w:r>
              <w:rPr>
                <w:sz w:val="18"/>
              </w:rPr>
              <w:t>RR __ (__ to __)</w:t>
            </w:r>
          </w:p>
        </w:tc>
        <w:tc>
          <w:tcPr>
            <w:tcW w:type="dxa" w:w="907"/>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362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Cumulative fluid balance day 5, ml/kg, median (IQR)</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215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8"/>
              </w:rPr>
              <w:t>Difference __ (__ to __)</w:t>
            </w:r>
          </w:p>
        </w:tc>
        <w:tc>
          <w:tcPr>
            <w:tcW w:type="dxa" w:w="907"/>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r>
      <w:tr>
        <w:trPr>
          <w:cantSplit w:val="true"/>
        </w:trPr>
        <w:tc>
          <w:tcPr>
            <w:tcW w:type="dxa" w:w="3628"/>
            <w:tcBorders>
              <w:top w:val="single" w:sz="4" w:color="D5DDE1"/>
              <w:left w:val="single" w:sz="4" w:color="D5DDE1"/>
              <w:bottom w:val="single" w:sz="4" w:color="D5DDE1"/>
              <w:right w:val="single" w:sz="4" w:color="D5DDE1"/>
            </w:tcBorders>
          </w:tcPr>
          <w:p>
            <w:pPr>
              <w:spacing w:after="0" w:line="252" w:lineRule="auto"/>
            </w:pPr>
            <w:r>
              <w:rPr>
                <w:sz w:val="18"/>
              </w:rPr>
              <w:t>Renal replacement therapy, n (%)</w:t>
            </w:r>
          </w:p>
        </w:tc>
        <w:tc>
          <w:tcPr>
            <w:tcW w:type="dxa" w:w="1361"/>
            <w:tcBorders>
              <w:top w:val="single" w:sz="4" w:color="D5DDE1"/>
              <w:left w:val="single" w:sz="4" w:color="D5DDE1"/>
              <w:bottom w:val="single" w:sz="4" w:color="D5DDE1"/>
              <w:right w:val="single" w:sz="4" w:color="D5DDE1"/>
            </w:tcBorders>
          </w:tcPr>
          <w:p>
            <w:pPr>
              <w:spacing w:after="0" w:line="252" w:lineRule="auto"/>
              <w:jc w:val="center"/>
            </w:pPr>
          </w:p>
        </w:tc>
        <w:tc>
          <w:tcPr>
            <w:tcW w:type="dxa" w:w="1361"/>
            <w:tcBorders>
              <w:top w:val="single" w:sz="4" w:color="D5DDE1"/>
              <w:left w:val="single" w:sz="4" w:color="D5DDE1"/>
              <w:bottom w:val="single" w:sz="4" w:color="D5DDE1"/>
              <w:right w:val="single" w:sz="4" w:color="D5DDE1"/>
            </w:tcBorders>
          </w:tcPr>
          <w:p>
            <w:pPr>
              <w:spacing w:after="0" w:line="252" w:lineRule="auto"/>
              <w:jc w:val="center"/>
            </w:pPr>
          </w:p>
        </w:tc>
        <w:tc>
          <w:tcPr>
            <w:tcW w:type="dxa" w:w="2154"/>
            <w:tcBorders>
              <w:top w:val="single" w:sz="4" w:color="D5DDE1"/>
              <w:left w:val="single" w:sz="4" w:color="D5DDE1"/>
              <w:bottom w:val="single" w:sz="4" w:color="D5DDE1"/>
              <w:right w:val="single" w:sz="4" w:color="D5DDE1"/>
            </w:tcBorders>
          </w:tcPr>
          <w:p>
            <w:pPr>
              <w:spacing w:after="0" w:line="252" w:lineRule="auto"/>
              <w:jc w:val="center"/>
            </w:pPr>
            <w:r>
              <w:rPr>
                <w:sz w:val="18"/>
              </w:rPr>
              <w:t>RR __ (__ to __)</w:t>
            </w:r>
          </w:p>
        </w:tc>
        <w:tc>
          <w:tcPr>
            <w:tcW w:type="dxa" w:w="907"/>
            <w:tcBorders>
              <w:top w:val="single" w:sz="4" w:color="D5DDE1"/>
              <w:left w:val="single" w:sz="4" w:color="D5DDE1"/>
              <w:bottom w:val="single" w:sz="4" w:color="D5DDE1"/>
              <w:right w:val="single" w:sz="4" w:color="D5DDE1"/>
            </w:tcBorders>
          </w:tcPr>
          <w:p>
            <w:pPr>
              <w:spacing w:after="0" w:line="252" w:lineRule="auto"/>
              <w:jc w:val="center"/>
            </w:pPr>
          </w:p>
        </w:tc>
      </w:tr>
    </w:tbl>
    <w:p>
      <w:pPr>
        <w:spacing w:after="0" w:line="80" w:lineRule="exact"/>
      </w:pPr>
    </w:p>
    <w:p>
      <w:pPr>
        <w:pStyle w:val="Heading3"/>
      </w:pPr>
      <w:r>
        <w:t>Figures</w:t>
      </w:r>
    </w:p>
    <w:p>
      <w:pPr>
        <w:pStyle w:val="ListBullet"/>
      </w:pPr>
      <w:r>
        <w:rPr>
          <w:sz w:val="20"/>
        </w:rPr>
        <w:t>Figure 1. Participant flow diagram (CONSORT for trials, STROBE for observational studies).</w:t>
      </w:r>
    </w:p>
    <w:p>
      <w:pPr>
        <w:pStyle w:val="ListBullet"/>
      </w:pPr>
      <w:r>
        <w:rPr>
          <w:sz w:val="20"/>
        </w:rPr>
        <w:t>Figure 2. Kaplan–Meier curves of survival to day 28 by group, with numbers at risk.</w:t>
      </w:r>
    </w:p>
    <w:p>
      <w:pPr>
        <w:pStyle w:val="ListBullet"/>
      </w:pPr>
      <w:r>
        <w:rPr>
          <w:sz w:val="20"/>
        </w:rPr>
        <w:t>Figure 3. Forest plot of pre-specified subgroups (if any).</w:t>
      </w:r>
    </w:p>
    <w:p>
      <w:pPr>
        <w:pStyle w:val="Heading1"/>
      </w:pPr>
      <w:r>
        <w:t>14  Version history and sign-off before data lock</w:t>
      </w:r>
    </w:p>
    <w:p>
      <w:pPr>
        <w:pStyle w:val="Guidance"/>
      </w:pPr>
      <w:r>
        <w:rPr>
          <w:i/>
        </w:rPr>
        <w:t>Sign before the database is locked (and before unblinding in a trial). Any later change gets a new version number, the date and the reason, and is reported in the paper.</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247"/>
        <w:gridCol w:w="1701"/>
        <w:gridCol w:w="6463"/>
      </w:tblGrid>
      <w:tr>
        <w:trPr>
          <w:cantSplit w:val="true"/>
          <w:tblHeader w:val="true"/>
        </w:trPr>
        <w:tc>
          <w:tcPr>
            <w:tcW w:type="dxa" w:w="124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Version</w:t>
            </w:r>
          </w:p>
        </w:tc>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Date</w:t>
            </w:r>
          </w:p>
        </w:tc>
        <w:tc>
          <w:tcPr>
            <w:tcW w:type="dxa" w:w="646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Changes and reason</w:t>
            </w:r>
          </w:p>
        </w:tc>
      </w:tr>
      <w:tr>
        <w:trPr>
          <w:cantSplit w:val="true"/>
        </w:trPr>
        <w:tc>
          <w:tcPr>
            <w:tcW w:type="dxa" w:w="1247"/>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[1.0]</w:t>
            </w:r>
          </w:p>
        </w:tc>
        <w:tc>
          <w:tcPr>
            <w:tcW w:type="dxa" w:w="1701"/>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[DD/MM/YYYY]</w:t>
            </w:r>
          </w:p>
        </w:tc>
        <w:tc>
          <w:tcPr>
            <w:tcW w:type="dxa" w:w="6463"/>
            <w:tcBorders>
              <w:top w:val="single" w:sz="4" w:color="D5DDE1"/>
              <w:left w:val="single" w:sz="4" w:color="D5DDE1"/>
              <w:bottom w:val="single" w:sz="4" w:color="D5DDE1"/>
              <w:right w:val="single" w:sz="4" w:color="D5DDE1"/>
            </w:tcBorders>
          </w:tcPr>
          <w:p>
            <w:pPr>
              <w:keepNext/>
              <w:spacing w:after="0" w:line="252" w:lineRule="auto"/>
            </w:pPr>
            <w:r>
              <w:rPr>
                <w:sz w:val="18"/>
              </w:rPr>
              <w:t>First version</w:t>
            </w:r>
          </w:p>
        </w:tc>
      </w:tr>
      <w:tr>
        <w:trPr>
          <w:cantSplit w:val="true"/>
        </w:trPr>
        <w:tc>
          <w:tcPr>
            <w:tcW w:type="dxa" w:w="1247"/>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[1.1]</w:t>
            </w:r>
          </w:p>
        </w:tc>
        <w:tc>
          <w:tcPr>
            <w:tcW w:type="dxa" w:w="170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[DD/MM/YYYY]</w:t>
            </w:r>
          </w:p>
        </w:tc>
        <w:tc>
          <w:tcPr>
            <w:tcW w:type="dxa" w:w="6463"/>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[Change and reason]</w:t>
            </w:r>
          </w:p>
        </w:tc>
      </w:tr>
    </w:tbl>
    <w:p>
      <w:pPr>
        <w:spacing w:after="0" w:line="120" w:lineRule="exact"/>
      </w:pP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608"/>
        <w:gridCol w:w="2381"/>
        <w:gridCol w:w="2381"/>
        <w:gridCol w:w="2041"/>
      </w:tblGrid>
      <w:tr>
        <w:trPr>
          <w:cantSplit w:val="true"/>
          <w:tblHeader w:val="true"/>
        </w:trPr>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Role</w:t>
            </w:r>
          </w:p>
        </w:tc>
        <w:tc>
          <w:tcPr>
            <w:tcW w:type="dxa" w:w="238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Name</w:t>
            </w:r>
          </w:p>
        </w:tc>
        <w:tc>
          <w:tcPr>
            <w:tcW w:type="dxa" w:w="238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Signature</w:t>
            </w:r>
          </w:p>
        </w:tc>
        <w:tc>
          <w:tcPr>
            <w:tcW w:type="dxa" w:w="204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Date (DD/MM/YYYY)</w:t>
            </w:r>
          </w:p>
        </w:tc>
      </w:tr>
      <w:tr>
        <w:trPr>
          <w:cantSplit w:val="true"/>
          <w:trHeight w:val="510" w:hRule="atLeast"/>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sz w:val="19"/>
              </w:rPr>
              <w:t>Statistician</w:t>
            </w:r>
          </w:p>
        </w:tc>
        <w:tc>
          <w:tcPr>
            <w:tcW w:type="dxa" w:w="2381"/>
            <w:tcBorders>
              <w:top w:val="single" w:sz="4" w:color="D5DDE1"/>
              <w:left w:val="single" w:sz="4" w:color="D5DDE1"/>
              <w:bottom w:val="single" w:sz="4" w:color="D5DDE1"/>
              <w:right w:val="single" w:sz="4" w:color="D5DDE1"/>
            </w:tcBorders>
          </w:tcPr>
          <w:p>
            <w:pPr>
              <w:keepNext/>
              <w:spacing w:after="0" w:line="252" w:lineRule="auto"/>
            </w:pPr>
          </w:p>
        </w:tc>
        <w:tc>
          <w:tcPr>
            <w:tcW w:type="dxa" w:w="2381"/>
            <w:tcBorders>
              <w:top w:val="single" w:sz="4" w:color="D5DDE1"/>
              <w:left w:val="single" w:sz="4" w:color="D5DDE1"/>
              <w:bottom w:val="single" w:sz="4" w:color="D5DDE1"/>
              <w:right w:val="single" w:sz="4" w:color="D5DDE1"/>
            </w:tcBorders>
          </w:tcPr>
          <w:p>
            <w:pPr>
              <w:keepNext/>
              <w:spacing w:after="0" w:line="252" w:lineRule="auto"/>
            </w:pPr>
          </w:p>
        </w:tc>
        <w:tc>
          <w:tcPr>
            <w:tcW w:type="dxa" w:w="2041"/>
            <w:tcBorders>
              <w:top w:val="single" w:sz="4" w:color="D5DDE1"/>
              <w:left w:val="single" w:sz="4" w:color="D5DDE1"/>
              <w:bottom w:val="single" w:sz="4" w:color="D5DDE1"/>
              <w:right w:val="single" w:sz="4" w:color="D5DDE1"/>
            </w:tcBorders>
          </w:tcPr>
          <w:p>
            <w:pPr>
              <w:keepNext/>
              <w:spacing w:after="0" w:line="252" w:lineRule="auto"/>
            </w:pPr>
          </w:p>
        </w:tc>
      </w:tr>
      <w:tr>
        <w:trPr>
          <w:cantSplit w:val="true"/>
          <w:trHeight w:val="510" w:hRule="atLeast"/>
        </w:trPr>
        <w:tc>
          <w:tcPr>
            <w:tcW w:type="dxa" w:w="260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Principal investigator</w:t>
            </w:r>
          </w:p>
        </w:tc>
        <w:tc>
          <w:tcPr>
            <w:tcW w:type="dxa" w:w="2381"/>
            <w:tcBorders>
              <w:top w:val="single" w:sz="4" w:color="D5DDE1"/>
              <w:left w:val="single" w:sz="4" w:color="D5DDE1"/>
              <w:bottom w:val="single" w:sz="4" w:color="D5DDE1"/>
              <w:right w:val="single" w:sz="4" w:color="D5DDE1"/>
            </w:tcBorders>
            <w:shd w:val="clear" w:color="auto" w:fill="F5F9FA"/>
          </w:tcPr>
          <w:p>
            <w:pPr>
              <w:keepNext/>
              <w:spacing w:after="0" w:line="252" w:lineRule="auto"/>
            </w:pPr>
          </w:p>
        </w:tc>
        <w:tc>
          <w:tcPr>
            <w:tcW w:type="dxa" w:w="2381"/>
            <w:tcBorders>
              <w:top w:val="single" w:sz="4" w:color="D5DDE1"/>
              <w:left w:val="single" w:sz="4" w:color="D5DDE1"/>
              <w:bottom w:val="single" w:sz="4" w:color="D5DDE1"/>
              <w:right w:val="single" w:sz="4" w:color="D5DDE1"/>
            </w:tcBorders>
            <w:shd w:val="clear" w:color="auto" w:fill="F5F9FA"/>
          </w:tcPr>
          <w:p>
            <w:pPr>
              <w:keepNext/>
              <w:spacing w:after="0" w:line="252" w:lineRule="auto"/>
            </w:pPr>
          </w:p>
        </w:tc>
        <w:tc>
          <w:tcPr>
            <w:tcW w:type="dxa" w:w="2041"/>
            <w:tcBorders>
              <w:top w:val="single" w:sz="4" w:color="D5DDE1"/>
              <w:left w:val="single" w:sz="4" w:color="D5DDE1"/>
              <w:bottom w:val="single" w:sz="4" w:color="D5DDE1"/>
              <w:right w:val="single" w:sz="4" w:color="D5DDE1"/>
            </w:tcBorders>
            <w:shd w:val="clear" w:color="auto" w:fill="F5F9FA"/>
          </w:tcPr>
          <w:p>
            <w:pPr>
              <w:keepNext/>
              <w:spacing w:after="0" w:line="252" w:lineRule="auto"/>
            </w:pPr>
          </w:p>
        </w:tc>
      </w:tr>
      <w:tr>
        <w:trPr>
          <w:cantSplit w:val="true"/>
          <w:trHeight w:val="510" w:hRule="atLeast"/>
        </w:trPr>
        <w:tc>
          <w:tcPr>
            <w:tcW w:type="dxa" w:w="2608"/>
            <w:tcBorders>
              <w:top w:val="single" w:sz="4" w:color="D5DDE1"/>
              <w:left w:val="single" w:sz="4" w:color="D5DDE1"/>
              <w:bottom w:val="single" w:sz="4" w:color="D5DDE1"/>
              <w:right w:val="single" w:sz="4" w:color="D5DDE1"/>
            </w:tcBorders>
          </w:tcPr>
          <w:p>
            <w:pPr>
              <w:spacing w:after="0" w:line="252" w:lineRule="auto"/>
            </w:pPr>
            <w:r>
              <w:rPr>
                <w:sz w:val="19"/>
              </w:rPr>
              <w:t>Other (e.g. trial steering committee)</w:t>
            </w:r>
          </w:p>
        </w:tc>
        <w:tc>
          <w:tcPr>
            <w:tcW w:type="dxa" w:w="2381"/>
            <w:tcBorders>
              <w:top w:val="single" w:sz="4" w:color="D5DDE1"/>
              <w:left w:val="single" w:sz="4" w:color="D5DDE1"/>
              <w:bottom w:val="single" w:sz="4" w:color="D5DDE1"/>
              <w:right w:val="single" w:sz="4" w:color="D5DDE1"/>
            </w:tcBorders>
          </w:tcPr>
          <w:p>
            <w:pPr>
              <w:spacing w:after="0" w:line="252" w:lineRule="auto"/>
            </w:pPr>
          </w:p>
        </w:tc>
        <w:tc>
          <w:tcPr>
            <w:tcW w:type="dxa" w:w="2381"/>
            <w:tcBorders>
              <w:top w:val="single" w:sz="4" w:color="D5DDE1"/>
              <w:left w:val="single" w:sz="4" w:color="D5DDE1"/>
              <w:bottom w:val="single" w:sz="4" w:color="D5DDE1"/>
              <w:right w:val="single" w:sz="4" w:color="D5DDE1"/>
            </w:tcBorders>
          </w:tcPr>
          <w:p>
            <w:pPr>
              <w:spacing w:after="0" w:line="252" w:lineRule="auto"/>
            </w:pPr>
          </w:p>
        </w:tc>
        <w:tc>
          <w:tcPr>
            <w:tcW w:type="dxa" w:w="2041"/>
            <w:tcBorders>
              <w:top w:val="single" w:sz="4" w:color="D5DDE1"/>
              <w:left w:val="single" w:sz="4" w:color="D5DDE1"/>
              <w:bottom w:val="single" w:sz="4" w:color="D5DDE1"/>
              <w:right w:val="single" w:sz="4" w:color="D5DDE1"/>
            </w:tcBorders>
          </w:tcPr>
          <w:p>
            <w:pPr>
              <w:spacing w:after="0" w:line="252" w:lineRule="auto"/>
            </w:pPr>
          </w:p>
        </w:tc>
      </w:tr>
    </w:tbl>
    <w:p>
      <w:pPr>
        <w:pStyle w:val="NeudataSmall"/>
        <w:spacing w:before="80"/>
      </w:pPr>
      <w:r>
        <w:t xml:space="preserve">Database lock date: </w:t>
      </w:r>
      <w:r>
        <w:rPr>
          <w:i/>
          <w:color w:val="6B7B84"/>
        </w:rPr>
        <w:t>[DD/MM/YYYY]</w:t>
      </w:r>
    </w:p>
    <w:sectPr w:rsidR="00FC693F" w:rsidRPr="0006063C" w:rsidSect="00034616">
      <w:headerReference w:type="default" r:id="rId9"/>
      <w:footerReference w:type="default" r:id="rId10"/>
      <w:pgSz w:w="11906" w:h="16838"/>
      <w:pgMar w:top="1474"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Foundations of Clinical Research  ·  Neudata Consulting Ltd · </w:t>
    </w:r>
    <w:r>
      <w:rPr>
        <w:i/>
        <w:color w:val="8A99A3"/>
        <w:sz w:val="16"/>
      </w:rPr>
      <w:t>Insight. Impact. Innovation.</w:t>
    </w:r>
    <w:r>
      <w:tab/>
    </w:r>
    <w:r>
      <w:rPr>
        <w:color w:val="8A99A3"/>
        <w:sz w:val="16"/>
      </w:rPr>
      <w:t xml:space="preserve">Page </w:t>
    </w:r>
    <w:r>
      <w:rPr>
        <w:color w:val="8A99A3"/>
        <w:sz w:val="16"/>
      </w:rPr>
      <w:fldChar w:fldCharType="begin"/>
      <w:instrText xml:space="preserve"> PAGE </w:instrText>
      <w:fldChar w:fldCharType="separate"/>
      <w:t>1</w:t>
      <w:fldChar w:fldCharType="end"/>
    </w:r>
    <w:r>
      <w:rPr>
        <w:color w:val="8A99A3"/>
        <w:sz w:val="16"/>
      </w:rPr>
      <w:t xml:space="preserve"> of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Statistical analysis plan</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Century Gothic" w:hAnsi="Century Gothic" w:cs="Century Gothic" w:eastAsia="Century Gothic"/>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Century Gothic" w:hAnsi="Century Gothic" w:cs="Century Gothic" w:eastAsia="Century Gothic"/>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Century Gothic" w:hAnsi="Century Gothic" w:cs="Century Gothic" w:eastAsia="Century Gothic"/>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Century Gothic" w:hAnsi="Century Gothic" w:cs="Century Gothic" w:eastAsia="Century Gothic"/>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Century Gothic" w:hAnsi="Century Gothic" w:cs="Century Gothic" w:eastAsia="Century Gothic"/>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analysis plan template</dc:title>
  <dc:subject>SAP written before data lock</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cp:coreProperties>
</file>