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Literature review worksheet</w:t>
      </w:r>
    </w:p>
    <w:p>
      <w:pPr>
        <w:pStyle w:val="Subtitle"/>
      </w:pPr>
      <w:r>
        <w:t>From PICO to search string, search log and evidence matrix</w:t>
      </w:r>
    </w:p>
    <w:p>
      <w:pPr>
        <w:pStyle w:val="NeudataSmall"/>
        <w:spacing w:after="160"/>
      </w:pPr>
      <w:r>
        <w:t>Foundations of Clinical Research</w:t>
      </w:r>
      <w:r>
        <w:t xml:space="preserve">  ·  Session 2 (2.1–2.4; proposal Part 1)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0" w:type="dxa"/>
          <w:bottom w:w="30" w:type="dxa"/>
          <w:right w:w="80" w:type="dxa"/>
        </w:tblCellMar>
        <w:tblLook w:firstColumn="1" w:firstRow="1" w:lastColumn="0" w:lastRow="0" w:noHBand="0" w:noVBand="1" w:val="04A0"/>
      </w:tblPr>
      <w:tblGrid>
        <w:gridCol w:w="2154"/>
        <w:gridCol w:w="7257"/>
      </w:tblGrid>
      <w:tr>
        <w:tc>
          <w:tcPr>
            <w:tcW w:type="dxa" w:w="215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Name: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[Your name]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Research question: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[Copy from proposal 1.4]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Date: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[DD/MM/YYYY]</w:t>
            </w:r>
          </w:p>
        </w:tc>
      </w:tr>
    </w:tbl>
    <w:p>
      <w:pPr>
        <w:spacing w:after="0" w:line="80" w:lineRule="exact"/>
      </w:pPr>
    </w:p>
    <w:p>
      <w:pPr>
        <w:pStyle w:val="Heading1"/>
      </w:pPr>
      <w:r>
        <w:t>Step 1  From PICO to search terms</w:t>
      </w:r>
    </w:p>
    <w:p>
      <w:pPr>
        <w:pStyle w:val="Guidance"/>
      </w:pPr>
      <w:r>
        <w:rPr>
          <w:i/>
        </w:rPr>
        <w:t>Search for P, I (or exposure) and O; C is often left out of the search. For each concept, list synonyms and spelling variants (free-text words, searched in title/abstract [tiab]) AND the controlled vocabulary term (MeSH in PubMed). Combine words WITHIN a concept with OR; combine concepts with AND.</w:t>
      </w:r>
    </w:p>
    <w:p>
      <w:pPr>
        <w:pStyle w:val="Heading3"/>
      </w:pPr>
      <w:r>
        <w:t>Worked example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1814"/>
        <w:gridCol w:w="3742"/>
        <w:gridCol w:w="3402"/>
      </w:tblGrid>
      <w:tr>
        <w:trPr>
          <w:cantSplit w:val="true"/>
          <w:tblHeader w:val="true"/>
        </w:trPr>
        <w:tc>
          <w:tcPr>
            <w:tcW w:type="dxa" w:w="45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</w:p>
        </w:tc>
        <w:tc>
          <w:tcPr>
            <w:tcW w:type="dxa" w:w="181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Concept</w:t>
            </w:r>
          </w:p>
        </w:tc>
        <w:tc>
          <w:tcPr>
            <w:tcW w:type="dxa" w:w="374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Synonyms / free text  [tiab]</w:t>
            </w:r>
          </w:p>
        </w:tc>
        <w:tc>
          <w:tcPr>
            <w:tcW w:type="dxa" w:w="340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MeSH terms  [Mesh]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8"/>
              </w:rPr>
              <w:t>P</w:t>
            </w:r>
          </w:p>
        </w:tc>
        <w:tc>
          <w:tcPr>
            <w:tcW w:type="dxa" w:w="181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Septic shock</w:t>
            </w:r>
          </w:p>
        </w:tc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“septic shock”, sepsis, “severe sepsis”</w:t>
            </w:r>
          </w:p>
        </w:tc>
        <w:tc>
          <w:tcPr>
            <w:tcW w:type="dxa" w:w="34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“Shock, Septic”, “Sepsis”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8"/>
              </w:rPr>
              <w:t>I</w:t>
            </w:r>
          </w:p>
        </w:tc>
        <w:tc>
          <w:tcPr>
            <w:tcW w:type="dxa" w:w="181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Restrictive fluids</w:t>
            </w:r>
          </w:p>
        </w:tc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“fluid restriction”, restrictive, “fluid balance”, “conservative fluid*”</w:t>
            </w:r>
          </w:p>
        </w:tc>
        <w:tc>
          <w:tcPr>
            <w:tcW w:type="dxa" w:w="34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“Fluid Therapy”, “Water-Electrolyte Balance”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8"/>
              </w:rPr>
              <w:t>C</w:t>
            </w:r>
          </w:p>
        </w:tc>
        <w:tc>
          <w:tcPr>
            <w:tcW w:type="dxa" w:w="181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Usual care</w:t>
            </w:r>
          </w:p>
        </w:tc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(usually not searched)</w:t>
            </w:r>
          </w:p>
        </w:tc>
        <w:tc>
          <w:tcPr>
            <w:tcW w:type="dxa" w:w="34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Not searched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O</w:t>
            </w:r>
          </w:p>
        </w:tc>
        <w:tc>
          <w:tcPr>
            <w:tcW w:type="dxa" w:w="181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Mortality</w:t>
            </w:r>
          </w:p>
        </w:tc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mortality, death, survival</w:t>
            </w:r>
          </w:p>
        </w:tc>
        <w:tc>
          <w:tcPr>
            <w:tcW w:type="dxa" w:w="34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“Mortality”, “Hospital Mortality”</w:t>
            </w:r>
          </w:p>
        </w:tc>
      </w:tr>
    </w:tbl>
    <w:p>
      <w:pPr>
        <w:spacing w:after="0" w:line="80" w:lineRule="exact"/>
      </w:pPr>
    </w:p>
    <w:p>
      <w:pPr>
        <w:pStyle w:val="Example"/>
      </w:pPr>
      <w:r>
        <w:rPr>
          <w:b/>
          <w:i w:val="0"/>
          <w:color w:val="055F56"/>
        </w:rPr>
        <w:t xml:space="preserve">Example search string: </w:t>
      </w:r>
      <w:r>
        <w:rPr>
          <w:i/>
        </w:rPr>
        <w:t>(“Shock, Septic”[Mesh] OR “septic shock”[tiab] OR sepsis[tiab]) AND (“Fluid Therapy”[Mesh] OR “fluid restriction”[tiab] OR restrictive[tiab] OR “fluid balance”[tiab]) AND (mortality[tiab] OR death[tiab] OR “Mortality”[Mesh])</w:t>
      </w:r>
    </w:p>
    <w:p>
      <w:pPr>
        <w:pStyle w:val="Heading3"/>
      </w:pPr>
      <w:r>
        <w:t>Our search terms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850"/>
        <w:gridCol w:w="1757"/>
        <w:gridCol w:w="3515"/>
        <w:gridCol w:w="3288"/>
      </w:tblGrid>
      <w:tr>
        <w:trPr>
          <w:cantSplit w:val="true"/>
          <w:tblHeader w:val="true"/>
        </w:trPr>
        <w:tc>
          <w:tcPr>
            <w:tcW w:type="dxa" w:w="850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</w:p>
        </w:tc>
        <w:tc>
          <w:tcPr>
            <w:tcW w:type="dxa" w:w="175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Concept</w:t>
            </w:r>
          </w:p>
        </w:tc>
        <w:tc>
          <w:tcPr>
            <w:tcW w:type="dxa" w:w="351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Synonyms / free text  [tiab]</w:t>
            </w:r>
          </w:p>
        </w:tc>
        <w:tc>
          <w:tcPr>
            <w:tcW w:type="dxa" w:w="328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MeSH terms  [Mesh]</w:t>
            </w:r>
          </w:p>
        </w:tc>
      </w:tr>
      <w:tr>
        <w:trPr>
          <w:cantSplit w:val="true"/>
          <w:trHeight w:val="567" w:hRule="atLeast"/>
        </w:trPr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P</w:t>
            </w:r>
          </w:p>
        </w:tc>
        <w:tc>
          <w:tcPr>
            <w:tcW w:type="dxa" w:w="17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[Concept]</w:t>
            </w:r>
          </w:p>
        </w:tc>
        <w:tc>
          <w:tcPr>
            <w:tcW w:type="dxa" w:w="351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[term OR term OR term]</w:t>
            </w:r>
          </w:p>
        </w:tc>
        <w:tc>
          <w:tcPr>
            <w:tcW w:type="dxa" w:w="32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[MeSH]</w:t>
            </w:r>
          </w:p>
        </w:tc>
      </w:tr>
      <w:tr>
        <w:trPr>
          <w:cantSplit w:val="true"/>
          <w:trHeight w:val="567" w:hRule="atLeast"/>
        </w:trPr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I / E</w:t>
            </w:r>
          </w:p>
        </w:tc>
        <w:tc>
          <w:tcPr>
            <w:tcW w:type="dxa" w:w="17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[Concept]</w:t>
            </w:r>
          </w:p>
        </w:tc>
        <w:tc>
          <w:tcPr>
            <w:tcW w:type="dxa" w:w="351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[term OR term OR term]</w:t>
            </w:r>
          </w:p>
        </w:tc>
        <w:tc>
          <w:tcPr>
            <w:tcW w:type="dxa" w:w="32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[MeSH]</w:t>
            </w:r>
          </w:p>
        </w:tc>
      </w:tr>
      <w:tr>
        <w:trPr>
          <w:cantSplit w:val="true"/>
          <w:trHeight w:val="567" w:hRule="atLeast"/>
        </w:trPr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C</w:t>
            </w:r>
          </w:p>
        </w:tc>
        <w:tc>
          <w:tcPr>
            <w:tcW w:type="dxa" w:w="17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[Concept]</w:t>
            </w:r>
          </w:p>
        </w:tc>
        <w:tc>
          <w:tcPr>
            <w:tcW w:type="dxa" w:w="351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[optional]</w:t>
            </w:r>
          </w:p>
        </w:tc>
        <w:tc>
          <w:tcPr>
            <w:tcW w:type="dxa" w:w="32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[MeSH]</w:t>
            </w:r>
          </w:p>
        </w:tc>
      </w:tr>
      <w:tr>
        <w:trPr>
          <w:cantSplit w:val="true"/>
          <w:trHeight w:val="567" w:hRule="atLeast"/>
        </w:trPr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O</w:t>
            </w:r>
          </w:p>
        </w:tc>
        <w:tc>
          <w:tcPr>
            <w:tcW w:type="dxa" w:w="17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[Concept]</w:t>
            </w:r>
          </w:p>
        </w:tc>
        <w:tc>
          <w:tcPr>
            <w:tcW w:type="dxa" w:w="351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[term OR term OR term]</w:t>
            </w:r>
          </w:p>
        </w:tc>
        <w:tc>
          <w:tcPr>
            <w:tcW w:type="dxa" w:w="32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[MeSH]</w:t>
            </w:r>
          </w:p>
        </w:tc>
      </w:tr>
      <w:tr>
        <w:trPr>
          <w:cantSplit w:val="true"/>
          <w:trHeight w:val="567" w:hRule="atLeast"/>
        </w:trPr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9"/>
              </w:rPr>
              <w:t>Design</w:t>
            </w:r>
          </w:p>
        </w:tc>
        <w:tc>
          <w:tcPr>
            <w:tcW w:type="dxa" w:w="17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[optional filter]</w:t>
            </w:r>
          </w:p>
        </w:tc>
        <w:tc>
          <w:tcPr>
            <w:tcW w:type="dxa" w:w="351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[e.g. randomized controlled trial[pt], cohort]</w:t>
            </w:r>
          </w:p>
        </w:tc>
        <w:tc>
          <w:tcPr>
            <w:tcW w:type="dxa" w:w="32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[e.g. Cohort Studies]</w:t>
            </w:r>
          </w:p>
        </w:tc>
      </w:tr>
    </w:tbl>
    <w:p>
      <w:pPr>
        <w:spacing w:after="0" w:line="80" w:lineRule="exact"/>
      </w:pPr>
    </w:p>
    <w:p>
      <w:r>
        <w:rPr>
          <w:b/>
          <w:color w:val="04242F"/>
        </w:rPr>
        <w:t>Our search string:</w:t>
      </w:r>
    </w:p>
    <w:tbl>
      <w:tblPr>
        <w:tblW w:type="auto" w:w="0"/>
        <w:jc w:val="center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trHeight w:val="907" w:hRule="atLeast"/>
        </w:trPr>
        <w:tc>
          <w:tcPr>
            <w:tcW w:type="dxa" w:w="9411"/>
            <w:tcBorders>
              <w:top w:val="single" w:sz="6" w:color="B9C6CC"/>
              <w:left w:val="single" w:sz="6" w:color="B9C6CC"/>
              <w:bottom w:val="single" w:sz="6" w:color="B9C6CC"/>
              <w:right w:val="single" w:sz="6" w:color="B9C6CC"/>
            </w:tcBorders>
          </w:tcPr>
          <w:p>
            <w:pPr>
              <w:spacing w:after="0"/>
            </w:pPr>
            <w:r>
              <w:rPr>
                <w:i/>
                <w:color w:val="6B7B84"/>
                <w:sz w:val="19"/>
              </w:rPr>
              <w:t>[(P terms) AND (I terms) AND (O terms)]</w:t>
            </w:r>
          </w:p>
        </w:tc>
      </w:tr>
    </w:tbl>
    <w:p>
      <w:pPr>
        <w:spacing w:after="0" w:line="80" w:lineRule="exact"/>
      </w:pPr>
    </w:p>
    <w:tbl>
      <w:tblPr>
        <w:tblW w:type="auto" w:w="0"/>
        <w:jc w:val="center"/>
        <w:tblLayout w:type="fixed"/>
        <w:tblCellMar>
          <w:top w:w="100" w:type="dxa"/>
          <w:left w:w="180" w:type="dxa"/>
          <w:bottom w:w="100" w:type="dxa"/>
          <w:right w:w="16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cantSplit w:val="true"/>
        </w:trPr>
        <w:tc>
          <w:tcPr>
            <w:tcW w:type="dxa" w:w="9411"/>
            <w:tcBorders>
              <w:top w:val="single" w:sz="4" w:color="EAF2F5"/>
              <w:left w:val="single" w:sz="24" w:color="055F56"/>
              <w:bottom w:val="single" w:sz="4" w:color="EAF2F5"/>
              <w:right w:val="single" w:sz="4" w:color="EAF2F5"/>
            </w:tcBorders>
            <w:shd w:val="clear" w:color="auto" w:fill="EAF2F5"/>
          </w:tcPr>
          <w:p>
            <w:pPr>
              <w:spacing w:after="60"/>
            </w:pPr>
            <w:r>
              <w:rPr>
                <w:rFonts w:ascii="Century Gothic" w:hAnsi="Century Gothic" w:cs="Century Gothic" w:eastAsia="Century Gothic"/>
                <w:b/>
                <w:color w:val="055F56"/>
                <w:sz w:val="20"/>
              </w:rPr>
              <w:t>Boolean and search tips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b/>
                <w:color w:val="04242F"/>
                <w:sz w:val="18"/>
              </w:rPr>
              <w:t>AND</w:t>
            </w:r>
            <w:r>
              <w:rPr>
                <w:sz w:val="18"/>
              </w:rPr>
              <w:t xml:space="preserve"> narrows (all concepts must appear). </w:t>
            </w:r>
            <w:r>
              <w:rPr>
                <w:b/>
                <w:color w:val="04242F"/>
                <w:sz w:val="18"/>
              </w:rPr>
              <w:t>OR</w:t>
            </w:r>
            <w:r>
              <w:rPr>
                <w:sz w:val="18"/>
              </w:rPr>
              <w:t xml:space="preserve"> broadens (any synonym). </w:t>
            </w:r>
            <w:r>
              <w:rPr>
                <w:b/>
                <w:color w:val="04242F"/>
                <w:sz w:val="18"/>
              </w:rPr>
              <w:t>NOT</w:t>
            </w:r>
            <w:r>
              <w:rPr>
                <w:sz w:val="18"/>
              </w:rPr>
              <w:t xml:space="preserve"> excludes. Use it rarely, because it can remove relevant papers.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sz w:val="18"/>
              </w:rPr>
              <w:t>“Quotation marks” search an exact phrase; an asterisk truncates (fluid* = fluid, fluids, fluidic). Brackets group the OR terms of each concept.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sz w:val="18"/>
              </w:rPr>
              <w:t>Filters (date, species = Humans, article type) are applied after you build the string. Record them in the search log.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sz w:val="18"/>
              </w:rPr>
              <w:t>PubMed finds MeSH terms through its MeSH Database; Google Scholar is useful for a quick look but cannot be reproduced. Always do the main search in PubMed (or another bibliographic database).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sz w:val="18"/>
              </w:rPr>
              <w:t>Save references in a reference manager (e.g. Zotero, free) from the start.</w:t>
            </w:r>
          </w:p>
        </w:tc>
      </w:tr>
    </w:tbl>
    <w:p>
      <w:pPr>
        <w:spacing w:after="0" w:line="120" w:lineRule="exact"/>
      </w:pPr>
    </w:p>
    <w:p>
      <w:pPr>
        <w:pStyle w:val="Heading1"/>
      </w:pPr>
      <w:r>
        <w:t>Step 2  Search log</w:t>
      </w:r>
    </w:p>
    <w:p>
      <w:pPr>
        <w:pStyle w:val="Guidance"/>
      </w:pPr>
      <w:r>
        <w:rPr>
          <w:i/>
        </w:rPr>
        <w:t>Record every search so that it can be repeated and reported. “Kept” = papers still relevant after reading titles and abstracts.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396"/>
        <w:gridCol w:w="1247"/>
        <w:gridCol w:w="1247"/>
        <w:gridCol w:w="3061"/>
        <w:gridCol w:w="1701"/>
        <w:gridCol w:w="850"/>
        <w:gridCol w:w="907"/>
      </w:tblGrid>
      <w:tr>
        <w:trPr>
          <w:cantSplit w:val="true"/>
          <w:tblHeader w:val="true"/>
        </w:trPr>
        <w:tc>
          <w:tcPr>
            <w:tcW w:type="dxa" w:w="39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24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Database</w:t>
            </w:r>
          </w:p>
        </w:tc>
        <w:tc>
          <w:tcPr>
            <w:tcW w:type="dxa" w:w="124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306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Search string (or line no.)</w:t>
            </w:r>
          </w:p>
        </w:tc>
        <w:tc>
          <w:tcPr>
            <w:tcW w:type="dxa" w:w="170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Filters</w:t>
            </w:r>
          </w:p>
        </w:tc>
        <w:tc>
          <w:tcPr>
            <w:tcW w:type="dxa" w:w="850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Hits</w:t>
            </w:r>
          </w:p>
        </w:tc>
        <w:tc>
          <w:tcPr>
            <w:tcW w:type="dxa" w:w="90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Kept</w:t>
            </w:r>
          </w:p>
        </w:tc>
      </w:tr>
      <w:tr>
        <w:trPr>
          <w:cantSplit w:val="true"/>
          <w:trHeight w:val="510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1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PubMed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DD/MM/YYYY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Example string above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Humans; last 10 years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n</w:t>
            </w:r>
          </w:p>
        </w:tc>
        <w:tc>
          <w:tcPr>
            <w:tcW w:type="dxa" w:w="9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n</w:t>
            </w:r>
          </w:p>
        </w:tc>
      </w:tr>
      <w:tr>
        <w:trPr>
          <w:cantSplit w:val="true"/>
          <w:trHeight w:val="510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2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[Database]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[Date]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[String]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[Filters]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</w:p>
        </w:tc>
        <w:tc>
          <w:tcPr>
            <w:tcW w:type="dxa" w:w="9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</w:p>
        </w:tc>
      </w:tr>
      <w:tr>
        <w:trPr>
          <w:cantSplit w:val="true"/>
          <w:trHeight w:val="510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3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[Database]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[Date]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[String]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[Filters]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</w:p>
        </w:tc>
        <w:tc>
          <w:tcPr>
            <w:tcW w:type="dxa" w:w="9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</w:p>
        </w:tc>
      </w:tr>
      <w:tr>
        <w:trPr>
          <w:cantSplit w:val="true"/>
          <w:trHeight w:val="510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4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[Database]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[Date]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[String]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[Filters]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</w:p>
        </w:tc>
        <w:tc>
          <w:tcPr>
            <w:tcW w:type="dxa" w:w="9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</w:p>
        </w:tc>
      </w:tr>
      <w:tr>
        <w:trPr>
          <w:cantSplit w:val="true"/>
          <w:trHeight w:val="510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5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[Database]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[Date]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[String]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[Filters]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9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</w:tr>
    </w:tbl>
    <w:p>
      <w:pPr>
        <w:sectPr>
          <w:headerReference w:type="default" r:id="rId9"/>
          <w:footerReference w:type="default" r:id="rId10"/>
          <w:pgSz w:w="11906" w:h="16838"/>
          <w:pgMar w:top="1474" w:right="1247" w:bottom="1247" w:left="1247" w:header="567" w:footer="567" w:gutter="0"/>
          <w:cols w:space="720"/>
          <w:docGrid w:linePitch="360"/>
        </w:sectPr>
      </w:pPr>
    </w:p>
    <w:p>
      <w:pPr>
        <w:pStyle w:val="Heading1"/>
      </w:pPr>
      <w:r>
        <w:t>Step 3  Evidence matrix</w:t>
      </w:r>
    </w:p>
    <w:p>
      <w:pPr>
        <w:pStyle w:val="Guidance"/>
      </w:pPr>
      <w:r>
        <w:rPr>
          <w:i/>
        </w:rPr>
        <w:t>One row per key paper. Main result = the effect size with its 95% confidence interval (e.g. RR, OR, HR, mean difference), not only the p-value. The first two rows are worked examples from the course papers.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396"/>
        <w:gridCol w:w="1474"/>
        <w:gridCol w:w="1530"/>
        <w:gridCol w:w="2268"/>
        <w:gridCol w:w="963"/>
        <w:gridCol w:w="2835"/>
        <w:gridCol w:w="2438"/>
        <w:gridCol w:w="2438"/>
      </w:tblGrid>
      <w:tr>
        <w:trPr>
          <w:cantSplit w:val="true"/>
          <w:tblHeader w:val="true"/>
        </w:trPr>
        <w:tc>
          <w:tcPr>
            <w:tcW w:type="dxa" w:w="39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147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Author, year</w:t>
            </w:r>
          </w:p>
        </w:tc>
        <w:tc>
          <w:tcPr>
            <w:tcW w:type="dxa" w:w="153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Design</w:t>
            </w:r>
          </w:p>
        </w:tc>
        <w:tc>
          <w:tcPr>
            <w:tcW w:type="dxa" w:w="226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Population and setting</w:t>
            </w:r>
          </w:p>
        </w:tc>
        <w:tc>
          <w:tcPr>
            <w:tcW w:type="dxa" w:w="96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n</w:t>
            </w:r>
          </w:p>
        </w:tc>
        <w:tc>
          <w:tcPr>
            <w:tcW w:type="dxa" w:w="283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Main result (effect size, 95% CI)</w:t>
            </w:r>
          </w:p>
        </w:tc>
        <w:tc>
          <w:tcPr>
            <w:tcW w:type="dxa" w:w="243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Limitations</w:t>
            </w:r>
          </w:p>
        </w:tc>
        <w:tc>
          <w:tcPr>
            <w:tcW w:type="dxa" w:w="243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Relevance to our question</w:t>
            </w:r>
          </w:p>
        </w:tc>
      </w:tr>
      <w:tr>
        <w:trPr>
          <w:cantSplit w:val="true"/>
          <w:trHeight w:val="793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7"/>
              </w:rPr>
              <w:t>1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Boulet et al., 2024 (Crit Care)</w:t>
            </w:r>
          </w:p>
        </w:tc>
        <w:tc>
          <w:tcPr>
            <w:tcW w:type="dxa" w:w="15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Pilot RCT, single-blind, 3 ICUs</w:t>
            </w:r>
          </w:p>
        </w:tc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Adults 18–85 y with septic shock, first 24 h of vasopressors</w:t>
            </w:r>
          </w:p>
        </w:tc>
        <w:tc>
          <w:tcPr>
            <w:tcW w:type="dxa" w:w="96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48 analysed (24 / 24)</w:t>
            </w: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Cumulative fluid balance at day 5: median 6.9 vs 35.0 ml/kg; difference 13.2 ml/kg (95% CI −15.2 to 41.6), p = 0.42. 28-day mortality similar.</w:t>
            </w: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Small pilot; clinicians not blinded; primary outcome is fluid balance, not mortality</w:t>
            </w: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Same PICO: restriction is possible, but the effect on mortality is unknown</w:t>
            </w:r>
          </w:p>
        </w:tc>
      </w:tr>
      <w:tr>
        <w:trPr>
          <w:cantSplit w:val="true"/>
          <w:trHeight w:val="793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7"/>
              </w:rPr>
              <w:t>2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Hyun et al., 2023 (Ann Intensive Care)</w:t>
            </w:r>
          </w:p>
        </w:tc>
        <w:tc>
          <w:tcPr>
            <w:tcW w:type="dxa" w:w="15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Prospective registry cohort, propensity-score matched, 20 hospitals</w:t>
            </w:r>
          </w:p>
        </w:tc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Adults with sepsis admitted to ICU</w:t>
            </w:r>
          </w:p>
        </w:tc>
        <w:tc>
          <w:tcPr>
            <w:tcW w:type="dxa" w:w="96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2516 eligible; 373 matched pairs (day-2 cohort)</w:t>
            </w: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Positive vs negative cumulative balance to day 2: 28-day mortality HR 2.13 (95% CI 1.48–3.06). Day 1: HR 1.17 (0.85–1.60).</w:t>
            </w: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Observational: residual confounding by indication; selection into cohorts</w:t>
            </w: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Positive balance is associated with death; cannot show that restriction helps</w:t>
            </w:r>
          </w:p>
        </w:tc>
      </w:tr>
      <w:tr>
        <w:trPr>
          <w:cantSplit w:val="true"/>
          <w:trHeight w:val="793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7"/>
              </w:rPr>
              <w:t>3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15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96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</w:tr>
      <w:tr>
        <w:trPr>
          <w:cantSplit w:val="true"/>
          <w:trHeight w:val="793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7"/>
              </w:rPr>
              <w:t>4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15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96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</w:tr>
      <w:tr>
        <w:trPr>
          <w:cantSplit w:val="true"/>
          <w:trHeight w:val="793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7"/>
              </w:rPr>
              <w:t>5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15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96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</w:tr>
      <w:tr>
        <w:trPr>
          <w:cantSplit w:val="true"/>
          <w:trHeight w:val="793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7"/>
              </w:rPr>
              <w:t>6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15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96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</w:tr>
      <w:tr>
        <w:trPr>
          <w:cantSplit w:val="true"/>
          <w:trHeight w:val="793" w:hRule="atLeast"/>
        </w:trPr>
        <w:tc>
          <w:tcPr>
            <w:tcW w:type="dxa" w:w="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7"/>
              </w:rPr>
              <w:t>7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15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96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</w:tr>
    </w:tbl>
    <w:p>
      <w:pPr>
        <w:sectPr>
          <w:headerReference w:type="default" r:id="rId11"/>
          <w:footerReference w:type="default" r:id="rId12"/>
          <w:pgSz w:w="16838" w:h="11906" w:orient="landscape"/>
          <w:pgMar w:top="1474" w:right="1247" w:bottom="1247" w:left="1247" w:header="567" w:footer="567" w:gutter="0"/>
          <w:cols w:space="720"/>
          <w:docGrid w:linePitch="360"/>
        </w:sectPr>
      </w:pPr>
    </w:p>
    <w:p>
      <w:pPr>
        <w:pStyle w:val="Heading1"/>
      </w:pPr>
      <w:r>
        <w:t>Step 4  What is known, and the gap</w:t>
      </w:r>
    </w:p>
    <w:p>
      <w:pPr>
        <w:pStyle w:val="Guidance"/>
      </w:pPr>
      <w:r>
        <w:rPr>
          <w:i/>
        </w:rPr>
        <w:t>Summarise the matrix in three short paragraphs. This becomes the problem statement and rationale (proposal 1.2).</w:t>
      </w:r>
    </w:p>
    <w:p>
      <w:pPr>
        <w:spacing w:after="40"/>
      </w:pPr>
      <w:r>
        <w:rPr>
          <w:b/>
          <w:color w:val="04242F"/>
        </w:rPr>
        <w:t>What is known</w:t>
      </w:r>
    </w:p>
    <w:tbl>
      <w:tblPr>
        <w:tblW w:type="auto" w:w="0"/>
        <w:jc w:val="center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trHeight w:val="1134" w:hRule="atLeast"/>
        </w:trPr>
        <w:tc>
          <w:tcPr>
            <w:tcW w:type="dxa" w:w="9411"/>
            <w:tcBorders>
              <w:top w:val="single" w:sz="6" w:color="B9C6CC"/>
              <w:left w:val="single" w:sz="6" w:color="B9C6CC"/>
              <w:bottom w:val="single" w:sz="6" w:color="B9C6CC"/>
              <w:right w:val="single" w:sz="6" w:color="B9C6CC"/>
            </w:tcBorders>
          </w:tcPr>
          <w:p>
            <w:pPr>
              <w:spacing w:after="0"/>
            </w:pPr>
            <w:r>
              <w:rPr>
                <w:i/>
                <w:color w:val="6B7B84"/>
                <w:sz w:val="19"/>
              </w:rPr>
              <w:t>[Write here]</w:t>
            </w:r>
          </w:p>
        </w:tc>
      </w:tr>
    </w:tbl>
    <w:p>
      <w:pPr>
        <w:spacing w:after="0" w:line="80" w:lineRule="exact"/>
      </w:pPr>
    </w:p>
    <w:p>
      <w:pPr>
        <w:spacing w:after="40"/>
      </w:pPr>
      <w:r>
        <w:rPr>
          <w:b/>
          <w:color w:val="04242F"/>
        </w:rPr>
        <w:t>What is NOT known (the gap)</w:t>
      </w:r>
    </w:p>
    <w:tbl>
      <w:tblPr>
        <w:tblW w:type="auto" w:w="0"/>
        <w:jc w:val="center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trHeight w:val="1134" w:hRule="atLeast"/>
        </w:trPr>
        <w:tc>
          <w:tcPr>
            <w:tcW w:type="dxa" w:w="9411"/>
            <w:tcBorders>
              <w:top w:val="single" w:sz="6" w:color="B9C6CC"/>
              <w:left w:val="single" w:sz="6" w:color="B9C6CC"/>
              <w:bottom w:val="single" w:sz="6" w:color="B9C6CC"/>
              <w:right w:val="single" w:sz="6" w:color="B9C6CC"/>
            </w:tcBorders>
          </w:tcPr>
          <w:p>
            <w:pPr>
              <w:spacing w:after="0"/>
            </w:pPr>
            <w:r>
              <w:rPr>
                <w:i/>
                <w:color w:val="6B7B84"/>
                <w:sz w:val="19"/>
              </w:rPr>
              <w:t>[Write here]</w:t>
            </w:r>
          </w:p>
        </w:tc>
      </w:tr>
    </w:tbl>
    <w:p>
      <w:pPr>
        <w:spacing w:after="0" w:line="80" w:lineRule="exact"/>
      </w:pPr>
    </w:p>
    <w:p>
      <w:pPr>
        <w:spacing w:after="40"/>
      </w:pPr>
      <w:r>
        <w:rPr>
          <w:b/>
          <w:color w:val="04242F"/>
        </w:rPr>
        <w:t>How our study will help fill the gap</w:t>
      </w:r>
    </w:p>
    <w:tbl>
      <w:tblPr>
        <w:tblW w:type="auto" w:w="0"/>
        <w:jc w:val="center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trHeight w:val="1134" w:hRule="atLeast"/>
        </w:trPr>
        <w:tc>
          <w:tcPr>
            <w:tcW w:type="dxa" w:w="9411"/>
            <w:tcBorders>
              <w:top w:val="single" w:sz="6" w:color="B9C6CC"/>
              <w:left w:val="single" w:sz="6" w:color="B9C6CC"/>
              <w:bottom w:val="single" w:sz="6" w:color="B9C6CC"/>
              <w:right w:val="single" w:sz="6" w:color="B9C6CC"/>
            </w:tcBorders>
          </w:tcPr>
          <w:p>
            <w:pPr>
              <w:spacing w:after="0"/>
            </w:pPr>
            <w:r>
              <w:rPr>
                <w:i/>
                <w:color w:val="6B7B84"/>
                <w:sz w:val="19"/>
              </w:rPr>
              <w:t>[Write here]</w:t>
            </w:r>
          </w:p>
        </w:tc>
      </w:tr>
    </w:tbl>
    <w:p>
      <w:pPr>
        <w:spacing w:after="0" w:line="80" w:lineRule="exact"/>
      </w:pPr>
    </w:p>
    <w:p>
      <w:pPr>
        <w:pStyle w:val="Heading1"/>
      </w:pPr>
      <w:r>
        <w:t>Step 5  Five key references (Vancouver style)</w:t>
      </w:r>
    </w:p>
    <w:p>
      <w:pPr>
        <w:pStyle w:val="Guidance"/>
      </w:pPr>
      <w:r>
        <w:rPr>
          <w:i/>
        </w:rPr>
        <w:t>Authors (up to 6, then et al.). Title. Journal abbreviation. Year;Volume(Issue):Pages. doi</w:t>
      </w:r>
    </w:p>
    <w:p>
      <w:pPr>
        <w:pStyle w:val="Example"/>
      </w:pPr>
      <w:r>
        <w:rPr>
          <w:b/>
          <w:i w:val="0"/>
          <w:color w:val="055F56"/>
        </w:rPr>
        <w:t xml:space="preserve">Example: </w:t>
      </w:r>
      <w:r>
        <w:rPr>
          <w:i/>
        </w:rPr>
        <w:t>Hyun DG, Ahn JH, Huh JW, et al. Impact of a cumulative positive fluid balance during the first three ICU days in patients with sepsis: a propensity score-matched cohort study. Ann Intensive Care. 2023;13:105. doi:10.1186/s13613-023-01178-x</w:t>
      </w:r>
    </w:p>
    <w:p>
      <w:pPr>
        <w:pStyle w:val="ListNumber"/>
      </w:pPr>
      <w:r>
        <w:rPr>
          <w:i/>
          <w:color w:val="6B7B84"/>
        </w:rPr>
        <w:t>[Reference 1]</w:t>
      </w:r>
    </w:p>
    <w:p>
      <w:pPr>
        <w:pStyle w:val="ListNumber"/>
      </w:pPr>
      <w:r>
        <w:rPr>
          <w:i/>
          <w:color w:val="6B7B84"/>
        </w:rPr>
        <w:t>[Reference 2]</w:t>
      </w:r>
    </w:p>
    <w:p>
      <w:pPr>
        <w:pStyle w:val="ListNumber"/>
      </w:pPr>
      <w:r>
        <w:rPr>
          <w:i/>
          <w:color w:val="6B7B84"/>
        </w:rPr>
        <w:t>[Reference 3]</w:t>
      </w:r>
    </w:p>
    <w:p>
      <w:pPr>
        <w:pStyle w:val="ListNumber"/>
      </w:pPr>
      <w:r>
        <w:rPr>
          <w:i/>
          <w:color w:val="6B7B84"/>
        </w:rPr>
        <w:t>[Reference 4]</w:t>
      </w:r>
    </w:p>
    <w:p>
      <w:pPr>
        <w:pStyle w:val="ListNumber"/>
      </w:pPr>
      <w:r>
        <w:rPr>
          <w:i/>
          <w:color w:val="6B7B84"/>
        </w:rPr>
        <w:t>[Reference 5]</w:t>
      </w:r>
    </w:p>
    <w:sectPr w:rsidR="00FC693F" w:rsidRPr="0006063C" w:rsidSect="00034616">
      <w:headerReference w:type="default" r:id="rId13"/>
      <w:footerReference w:type="default" r:id="rId14"/>
      <w:pgSz w:w="11906" w:h="16838"/>
      <w:pgMar w:top="1474" w:right="1247" w:bottom="124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</w:tabs>
    </w:pPr>
    <w:r>
      <w:rPr>
        <w:color w:val="8A99A3"/>
        <w:sz w:val="16"/>
      </w:rPr>
      <w:t xml:space="preserve">Foundations of Clinical Research  ·  Neudata Consulting Ltd · </w:t>
    </w:r>
    <w:r>
      <w:rPr>
        <w:i/>
        <w:color w:val="8A99A3"/>
        <w:sz w:val="16"/>
      </w:rPr>
      <w:t>Insight. Impact. Innovation.</w:t>
    </w:r>
    <w:r>
      <w:tab/>
    </w:r>
    <w:r>
      <w:rPr>
        <w:color w:val="8A99A3"/>
        <w:sz w:val="16"/>
      </w:rPr>
      <w:t xml:space="preserve">Page </w:t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of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4343" w:val="right"/>
      </w:tabs>
    </w:pPr>
    <w:r>
      <w:rPr>
        <w:color w:val="8A99A3"/>
        <w:sz w:val="16"/>
      </w:rPr>
      <w:t xml:space="preserve">Foundations of Clinical Research  ·  Neudata Consulting Ltd · </w:t>
    </w:r>
    <w:r>
      <w:rPr>
        <w:i/>
        <w:color w:val="8A99A3"/>
        <w:sz w:val="16"/>
      </w:rPr>
      <w:t>Insight. Impact. Innovation.</w:t>
    </w:r>
    <w:r>
      <w:tab/>
    </w:r>
    <w:r>
      <w:rPr>
        <w:color w:val="8A99A3"/>
        <w:sz w:val="16"/>
      </w:rPr>
      <w:t xml:space="preserve">Page </w:t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of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</w:tabs>
    </w:pPr>
    <w:r>
      <w:rPr>
        <w:color w:val="8A99A3"/>
        <w:sz w:val="16"/>
      </w:rPr>
      <w:t xml:space="preserve">Foundations of Clinical Research  ·  Neudata Consulting Ltd · </w:t>
    </w:r>
    <w:r>
      <w:rPr>
        <w:i/>
        <w:color w:val="8A99A3"/>
        <w:sz w:val="16"/>
      </w:rPr>
      <w:t>Insight. Impact. Innovation.</w:t>
    </w:r>
    <w:r>
      <w:tab/>
    </w:r>
    <w:r>
      <w:rPr>
        <w:color w:val="8A99A3"/>
        <w:sz w:val="16"/>
      </w:rPr>
      <w:t xml:space="preserve">Page </w:t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of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9411" w:val="right"/>
      </w:tabs>
    </w:pPr>
    <w:r>
      <w:rPr>
        <w:color w:val="04242F"/>
        <w:sz w:val="16"/>
      </w:rPr>
      <w:t>Literature review worksheet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14343" w:val="right"/>
      </w:tabs>
    </w:pPr>
    <w:r>
      <w:rPr>
        <w:color w:val="04242F"/>
        <w:sz w:val="16"/>
      </w:rPr>
      <w:t>Literature review worksheet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9411" w:val="right"/>
      </w:tabs>
    </w:pPr>
    <w:r>
      <w:rPr>
        <w:color w:val="04242F"/>
        <w:sz w:val="16"/>
      </w:rPr>
      <w:t>Literature review worksheet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color w:val="1F2D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10" w:space="4" w:color="055F56"/>
      </w:pBdr>
      <w:spacing w:before="320" w:after="100"/>
      <w:outlineLvl w:val="0"/>
    </w:pPr>
    <w:rPr>
      <w:rFonts w:ascii="Century Gothic" w:hAnsi="Century Gothic" w:cs="Century Gothic" w:eastAsia="Century Gothic"/>
      <w:b/>
      <w:bCs/>
      <w:i w:val="0"/>
      <w:color w:val="04242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="Century Gothic" w:hAnsi="Century Gothic" w:cs="Century Gothic" w:eastAsia="Century Gothic"/>
      <w:b/>
      <w:bCs/>
      <w:i w:val="0"/>
      <w:color w:val="0B376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="Century Gothic" w:hAnsi="Century Gothic" w:cs="Century Gothic" w:eastAsia="Century Gothic"/>
      <w:b/>
      <w:bCs/>
      <w:i w:val="0"/>
      <w:color w:val="055F56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Century Gothic" w:hAnsi="Century Gothic" w:cs="Century Gothic" w:eastAsia="Century Gothic"/>
      <w:b/>
      <w:color w:val="04242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="Century Gothic" w:hAnsi="Century Gothic" w:cs="Century Gothic" w:eastAsia="Century Gothic"/>
      <w:b w:val="0"/>
      <w:i w:val="0"/>
      <w:iCs/>
      <w:color w:val="055F56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04242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eyFindings">
    <w:name w:val="Key Findings"/>
    <w:basedOn w:val="Normal"/>
    <w:pPr>
      <w:pBdr>
        <w:left w:val="single" w:sz="30" w:space="8" w:color="055F56"/>
      </w:pBdr>
      <w:shd w:val="clear" w:color="auto" w:fill="EAF2F5"/>
      <w:ind w:left="198"/>
    </w:pPr>
    <w:rPr>
      <w:rFonts w:ascii="Arial" w:hAnsi="Arial" w:cs="Arial" w:eastAsia="Arial"/>
      <w:color w:val="04242F"/>
      <w:sz w:val="21"/>
    </w:rPr>
  </w:style>
  <w:style w:type="paragraph" w:customStyle="1" w:styleId="Guidance">
    <w:name w:val="Guidance"/>
    <w:basedOn w:val="Normal"/>
    <w:pPr>
      <w:keepNext/>
      <w:spacing w:after="80"/>
    </w:pPr>
    <w:rPr>
      <w:rFonts w:ascii="Arial" w:hAnsi="Arial" w:cs="Arial" w:eastAsia="Arial"/>
      <w:i/>
      <w:color w:val="6B7B84"/>
      <w:sz w:val="19"/>
    </w:rPr>
  </w:style>
  <w:style w:type="paragraph" w:customStyle="1" w:styleId="Example">
    <w:name w:val="Example"/>
    <w:basedOn w:val="Normal"/>
    <w:pPr>
      <w:pBdr>
        <w:left w:val="single" w:sz="24" w:space="8" w:color="9FD3CB"/>
      </w:pBdr>
      <w:shd w:val="clear" w:color="auto" w:fill="F3F8F7"/>
      <w:spacing w:after="120"/>
      <w:ind w:left="198"/>
    </w:pPr>
    <w:rPr>
      <w:rFonts w:ascii="Arial" w:hAnsi="Arial" w:cs="Arial" w:eastAsia="Arial"/>
      <w:i/>
      <w:color w:val="6B7B84"/>
      <w:sz w:val="19"/>
    </w:rPr>
  </w:style>
  <w:style w:type="paragraph" w:customStyle="1" w:styleId="NeudataSmall">
    <w:name w:val="Neudata Small"/>
    <w:basedOn w:val="Normal"/>
    <w:pPr>
      <w:spacing w:after="0"/>
    </w:pPr>
    <w:rPr>
      <w:rFonts w:ascii="Arial" w:hAnsi="Arial" w:cs="Arial" w:eastAsia="Arial"/>
      <w:color w:val="8A99A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Literature review worksheet</dc:title>
  <dc:subject>PICO, search log and evidence matrix</dc:subject>
  <dc:creator>Neudata Consulting Ltd</dc:creator>
  <cp:keywords/>
  <dc:description>Generated by Course/Templates/build_documents.py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