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Conference abstract</w:t>
      </w:r>
    </w:p>
    <w:p>
      <w:pPr>
        <w:pStyle w:val="Subtitle"/>
      </w:pPr>
      <w:r>
        <w:t>Structured abstract (250–300 words) and poster layout guide</w:t>
      </w:r>
    </w:p>
    <w:p>
      <w:pPr>
        <w:pStyle w:val="NeudataSmall"/>
        <w:spacing w:after="160"/>
      </w:pPr>
      <w:r>
        <w:t>Foundations of Clinical Research</w:t>
      </w:r>
      <w:r>
        <w:t xml:space="preserve">  ·  Session 8 (8.2 Getting published) · Template version 1.0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0" w:type="dxa"/>
          <w:bottom w:w="30" w:type="dxa"/>
          <w:right w:w="80" w:type="dxa"/>
        </w:tblCellMar>
        <w:tblLook w:firstColumn="1" w:firstRow="1" w:lastColumn="0" w:lastRow="0" w:noHBand="0" w:noVBand="1" w:val="04A0"/>
      </w:tblPr>
      <w:tblGrid>
        <w:gridCol w:w="2154"/>
        <w:gridCol w:w="7257"/>
      </w:tblGrid>
      <w:tr>
        <w:tc>
          <w:tcPr>
            <w:tcW w:type="dxa" w:w="215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Conference: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[Name, year; abstract deadline]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Category / topic: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[As listed by the conference]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Preference: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sz w:val="20"/>
              </w:rPr>
              <w:t>☐</w:t>
            </w:r>
            <w:r>
              <w:rPr>
                <w:sz w:val="20"/>
              </w:rPr>
              <w:t xml:space="preserve"> Oral   </w:t>
            </w:r>
            <w:r>
              <w:rPr>
                <w:rFonts w:ascii="Segoe UI Symbol" w:hAnsi="Segoe UI Symbol" w:cs="Segoe UI Symbol" w:eastAsia="Segoe UI Symbol"/>
                <w:sz w:val="20"/>
              </w:rPr>
              <w:t>☐</w:t>
            </w:r>
            <w:r>
              <w:rPr>
                <w:sz w:val="20"/>
              </w:rPr>
              <w:t xml:space="preserve"> Poster   </w:t>
            </w:r>
            <w:r>
              <w:rPr>
                <w:rFonts w:ascii="Segoe UI Symbol" w:hAnsi="Segoe UI Symbol" w:cs="Segoe UI Symbol" w:eastAsia="Segoe UI Symbol"/>
                <w:sz w:val="20"/>
              </w:rPr>
              <w:t>☐</w:t>
            </w:r>
            <w:r>
              <w:rPr>
                <w:sz w:val="20"/>
              </w:rPr>
              <w:t xml:space="preserve"> Either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Word limit: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[e.g. 300 words, excluding title and authors (check the call)]</w:t>
            </w:r>
          </w:p>
        </w:tc>
      </w:tr>
    </w:tbl>
    <w:p>
      <w:pPr>
        <w:spacing w:after="0" w:line="80" w:lineRule="exact"/>
      </w:pPr>
    </w:p>
    <w:p>
      <w:pPr>
        <w:pStyle w:val="Guidance"/>
      </w:pPr>
      <w:r>
        <w:rPr>
          <w:i/>
        </w:rPr>
        <w:t>Conference abstracts are judged in a few minutes: one clear question, real numbers, one message. Results must be available (or nearly) when you submit. Never write “results will be presented”. Follow the conference format exactly; most do not allow tables or references.</w:t>
      </w:r>
    </w:p>
    <w:p>
      <w:r>
        <w:rPr>
          <w:b/>
          <w:color w:val="04242F"/>
        </w:rPr>
        <w:t xml:space="preserve">Title: </w:t>
      </w:r>
      <w:r>
        <w:rPr>
          <w:i/>
          <w:color w:val="6B7B84"/>
        </w:rPr>
        <w:t>[Informative title, ≤ 20 words, the design in it]</w:t>
      </w:r>
    </w:p>
    <w:p>
      <w:r>
        <w:rPr>
          <w:b/>
          <w:color w:val="04242F"/>
        </w:rPr>
        <w:t xml:space="preserve">Authors and affiliations: </w:t>
      </w:r>
      <w:r>
        <w:rPr>
          <w:i/>
          <w:color w:val="6B7B84"/>
        </w:rPr>
        <w:t>[Presenting author underlined; Department, Institution]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1474"/>
        <w:gridCol w:w="907"/>
        <w:gridCol w:w="2948"/>
        <w:gridCol w:w="4082"/>
      </w:tblGrid>
      <w:tr>
        <w:trPr>
          <w:cantSplit w:val="true"/>
          <w:tblHeader w:val="true"/>
        </w:trPr>
        <w:tc>
          <w:tcPr>
            <w:tcW w:type="dxa" w:w="147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Section</w:t>
            </w:r>
          </w:p>
        </w:tc>
        <w:tc>
          <w:tcPr>
            <w:tcW w:type="dxa" w:w="90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Words</w:t>
            </w:r>
          </w:p>
        </w:tc>
        <w:tc>
          <w:tcPr>
            <w:tcW w:type="dxa" w:w="294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Content</w:t>
            </w:r>
          </w:p>
        </w:tc>
        <w:tc>
          <w:tcPr>
            <w:tcW w:type="dxa" w:w="408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Your text</w:t>
            </w:r>
          </w:p>
        </w:tc>
      </w:tr>
      <w:tr>
        <w:trPr>
          <w:cantSplit w:val="true"/>
          <w:trHeight w:val="907" w:hRule="atLeast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8"/>
              </w:rPr>
              <w:t>Background</w:t>
            </w:r>
          </w:p>
        </w:tc>
        <w:tc>
          <w:tcPr>
            <w:tcW w:type="dxa" w:w="9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40–50</w:t>
            </w:r>
          </w:p>
        </w:tc>
        <w:tc>
          <w:tcPr>
            <w:tcW w:type="dxa" w:w="294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Problem, gap, aim</w:t>
            </w:r>
          </w:p>
        </w:tc>
        <w:tc>
          <w:tcPr>
            <w:tcW w:type="dxa" w:w="40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[Write here]</w:t>
            </w:r>
          </w:p>
        </w:tc>
      </w:tr>
      <w:tr>
        <w:trPr>
          <w:cantSplit w:val="true"/>
          <w:trHeight w:val="907" w:hRule="atLeast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8"/>
              </w:rPr>
              <w:t>Methods</w:t>
            </w:r>
          </w:p>
        </w:tc>
        <w:tc>
          <w:tcPr>
            <w:tcW w:type="dxa" w:w="9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70–80</w:t>
            </w:r>
          </w:p>
        </w:tc>
        <w:tc>
          <w:tcPr>
            <w:tcW w:type="dxa" w:w="294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Design, setting, participants, exposure/intervention, primary outcome, analysis</w:t>
            </w:r>
          </w:p>
        </w:tc>
        <w:tc>
          <w:tcPr>
            <w:tcW w:type="dxa" w:w="40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[Write here]</w:t>
            </w:r>
          </w:p>
        </w:tc>
      </w:tr>
      <w:tr>
        <w:trPr>
          <w:cantSplit w:val="true"/>
          <w:trHeight w:val="907" w:hRule="atLeast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8"/>
              </w:rPr>
              <w:t>Results</w:t>
            </w:r>
          </w:p>
        </w:tc>
        <w:tc>
          <w:tcPr>
            <w:tcW w:type="dxa" w:w="9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90–110</w:t>
            </w:r>
          </w:p>
        </w:tc>
        <w:tc>
          <w:tcPr>
            <w:tcW w:type="dxa" w:w="294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n; primary outcome per group; effect size (95% CI); one secondary result</w:t>
            </w:r>
          </w:p>
        </w:tc>
        <w:tc>
          <w:tcPr>
            <w:tcW w:type="dxa" w:w="40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[Write here]</w:t>
            </w:r>
          </w:p>
        </w:tc>
      </w:tr>
      <w:tr>
        <w:trPr>
          <w:cantSplit w:val="true"/>
          <w:trHeight w:val="907" w:hRule="atLeast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8"/>
              </w:rPr>
              <w:t>Conclusions</w:t>
            </w:r>
          </w:p>
        </w:tc>
        <w:tc>
          <w:tcPr>
            <w:tcW w:type="dxa" w:w="9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8"/>
              </w:rPr>
              <w:t>30–40</w:t>
            </w:r>
          </w:p>
        </w:tc>
        <w:tc>
          <w:tcPr>
            <w:tcW w:type="dxa" w:w="294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8"/>
              </w:rPr>
              <w:t>Answer + implication, matched to the design</w:t>
            </w:r>
          </w:p>
        </w:tc>
        <w:tc>
          <w:tcPr>
            <w:tcW w:type="dxa" w:w="40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[Write here]</w:t>
            </w:r>
          </w:p>
        </w:tc>
      </w:tr>
    </w:tbl>
    <w:p>
      <w:pPr>
        <w:spacing w:after="0" w:line="80" w:lineRule="exact"/>
      </w:pPr>
    </w:p>
    <w:p>
      <w:pPr>
        <w:pStyle w:val="NeudataSmall"/>
      </w:pPr>
      <w:r>
        <w:t xml:space="preserve">Total words: </w:t>
      </w:r>
      <w:r>
        <w:rPr>
          <w:i/>
          <w:color w:val="6B7B84"/>
        </w:rPr>
        <w:t>[n]</w:t>
      </w:r>
      <w:r>
        <w:t xml:space="preserve"> / limit </w:t>
      </w:r>
      <w:r>
        <w:rPr>
          <w:i/>
          <w:color w:val="6B7B84"/>
        </w:rPr>
        <w:t>[n]</w:t>
      </w:r>
    </w:p>
    <w:p>
      <w:pPr>
        <w:spacing w:after="0" w:line="80" w:lineRule="exact"/>
      </w:pPr>
    </w:p>
    <w:p>
      <w:pPr>
        <w:pStyle w:val="Example"/>
      </w:pPr>
      <w:r>
        <w:rPr>
          <w:b/>
          <w:i w:val="0"/>
          <w:color w:val="055F56"/>
        </w:rPr>
        <w:t xml:space="preserve">Example (FICTIONAL): </w:t>
      </w:r>
      <w:r>
        <w:rPr>
          <w:i/>
        </w:rPr>
        <w:t>Background: Fluid accumulation in septic shock is associated with death, but routine ICU data are scarce. We described fluid balance in our ICU and its association with 28-day mortality. Methods: Prospective cohort of adults with sepsis ... Results: Of 270 patients alive at day 5, 68 (25%) died by day 28; each 10 ml/kg increase in cumulative balance was associated with higher odds of death (adjusted OR 1.12, 95% CI 1.03–1.22). Conclusions: ...  [Fictional numbers.]</w:t>
      </w:r>
    </w:p>
    <w:p>
      <w:r>
        <w:br w:type="page"/>
      </w:r>
    </w:p>
    <w:p>
      <w:pPr>
        <w:pStyle w:val="Heading1"/>
      </w:pPr>
      <w:r>
        <w:t>Poster layout guide</w:t>
      </w:r>
    </w:p>
    <w:p>
      <w:pPr>
        <w:pStyle w:val="Guidance"/>
      </w:pPr>
      <w:r>
        <w:rPr>
          <w:i/>
        </w:rPr>
        <w:t>A poster is read from 1.5–2 metres in about 1 minute. Three columns, read top-left to bottom-right; figures instead of text; one take-home message in a box. Check the conference size (often A0 portrait, 84 × 119 cm).</w:t>
      </w:r>
    </w:p>
    <w:tbl>
      <w:tblPr>
        <w:tblW w:type="auto" w:w="0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firstColumn="1" w:firstRow="1" w:lastColumn="0" w:lastRow="0" w:noHBand="0" w:noVBand="1" w:val="04A0"/>
      </w:tblPr>
      <w:tblGrid>
        <w:gridCol w:w="3005"/>
        <w:gridCol w:w="3288"/>
        <w:gridCol w:w="3118"/>
      </w:tblGrid>
      <w:tr>
        <w:trPr>
          <w:cantSplit w:val="true"/>
          <w:trHeight w:val="907" w:hRule="atLeast"/>
        </w:trPr>
        <w:tc>
          <w:tcPr>
            <w:tcW w:type="dxa" w:w="9411"/>
            <w:gridSpan w:val="3"/>
            <w:tcBorders>
              <w:top w:val="single" w:sz="12" w:color="FFFFFF"/>
              <w:left w:val="single" w:sz="12" w:color="FFFFFF"/>
              <w:bottom w:val="single" w:sz="12" w:color="FFFFFF"/>
              <w:right w:val="single" w:sz="12" w:color="FFFFFF"/>
            </w:tcBorders>
            <w:shd w:val="clear" w:color="auto" w:fill="04242F"/>
            <w:vAlign w:val="center"/>
          </w:tcPr>
          <w:p>
            <w:pPr>
              <w:spacing w:after="40"/>
              <w:jc w:val="center"/>
            </w:pPr>
            <w:r>
              <w:rPr>
                <w:rFonts w:ascii="Century Gothic" w:hAnsi="Century Gothic" w:cs="Century Gothic" w:eastAsia="Century Gothic"/>
                <w:b/>
                <w:color w:val="FFFFFF"/>
                <w:sz w:val="20"/>
              </w:rPr>
              <w:t>TITLE (≥ 85 pt) · authors · affiliations · logos</w:t>
            </w:r>
          </w:p>
        </w:tc>
      </w:tr>
      <w:tr>
        <w:trPr>
          <w:cantSplit w:val="true"/>
          <w:trHeight w:val="2381" w:hRule="atLeast"/>
          <w:trHeight w:val="2381" w:hRule="atLeast"/>
          <w:trHeight w:val="2381" w:hRule="atLeast"/>
        </w:trPr>
        <w:tc>
          <w:tcPr>
            <w:tcW w:type="dxa" w:w="3005"/>
            <w:tcBorders>
              <w:top w:val="single" w:sz="12" w:color="FFFFFF"/>
              <w:left w:val="single" w:sz="12" w:color="FFFFFF"/>
              <w:bottom w:val="single" w:sz="12" w:color="FFFFFF"/>
              <w:right w:val="single" w:sz="12" w:color="FFFFFF"/>
            </w:tcBorders>
            <w:shd w:val="clear" w:color="auto" w:fill="EAF2F5"/>
            <w:vAlign w:val="center"/>
          </w:tcPr>
          <w:p>
            <w:pPr>
              <w:spacing w:after="40"/>
              <w:jc w:val="center"/>
            </w:pPr>
            <w:r>
              <w:rPr>
                <w:rFonts w:ascii="Century Gothic" w:hAnsi="Century Gothic" w:cs="Century Gothic" w:eastAsia="Century Gothic"/>
                <w:b/>
                <w:color w:val="04242F"/>
                <w:sz w:val="19"/>
              </w:rPr>
              <w:t>1  Background</w:t>
            </w:r>
          </w:p>
          <w:p>
            <w:pPr>
              <w:spacing w:after="0"/>
              <w:jc w:val="center"/>
            </w:pPr>
            <w:r>
              <w:rPr>
                <w:color w:val="1F2D33"/>
                <w:sz w:val="17"/>
              </w:rPr>
              <w:t>2–3 bullets: problem, gap, aim</w:t>
            </w:r>
          </w:p>
        </w:tc>
        <w:tc>
          <w:tcPr>
            <w:tcW w:type="dxa" w:w="3288"/>
            <w:tcBorders>
              <w:top w:val="single" w:sz="12" w:color="FFFFFF"/>
              <w:left w:val="single" w:sz="12" w:color="FFFFFF"/>
              <w:bottom w:val="single" w:sz="12" w:color="FFFFFF"/>
              <w:right w:val="single" w:sz="12" w:color="FFFFFF"/>
            </w:tcBorders>
            <w:shd w:val="clear" w:color="auto" w:fill="F3F8F7"/>
            <w:vAlign w:val="center"/>
          </w:tcPr>
          <w:p>
            <w:pPr>
              <w:spacing w:after="40"/>
              <w:jc w:val="center"/>
            </w:pPr>
            <w:r>
              <w:rPr>
                <w:rFonts w:ascii="Century Gothic" w:hAnsi="Century Gothic" w:cs="Century Gothic" w:eastAsia="Century Gothic"/>
                <w:b/>
                <w:color w:val="04242F"/>
                <w:sz w:val="19"/>
              </w:rPr>
              <w:t>3  Results: main figure</w:t>
            </w:r>
          </w:p>
          <w:p>
            <w:pPr>
              <w:spacing w:after="0"/>
              <w:jc w:val="center"/>
            </w:pPr>
            <w:r>
              <w:rPr>
                <w:color w:val="1F2D33"/>
                <w:sz w:val="17"/>
              </w:rPr>
              <w:t>The primary outcome as a figure (e.g. bar or dot plot with 95% CI, or Kaplan–Meier curve). Largest element on the poster.</w:t>
            </w:r>
          </w:p>
        </w:tc>
        <w:tc>
          <w:tcPr>
            <w:tcW w:type="dxa" w:w="3118"/>
            <w:tcBorders>
              <w:top w:val="single" w:sz="12" w:color="FFFFFF"/>
              <w:left w:val="single" w:sz="12" w:color="FFFFFF"/>
              <w:bottom w:val="single" w:sz="12" w:color="FFFFFF"/>
              <w:right w:val="single" w:sz="12" w:color="FFFFFF"/>
            </w:tcBorders>
            <w:shd w:val="clear" w:color="auto" w:fill="9FD3CB"/>
            <w:vAlign w:val="center"/>
          </w:tcPr>
          <w:p>
            <w:pPr>
              <w:spacing w:after="40"/>
              <w:jc w:val="center"/>
            </w:pPr>
            <w:r>
              <w:rPr>
                <w:rFonts w:ascii="Century Gothic" w:hAnsi="Century Gothic" w:cs="Century Gothic" w:eastAsia="Century Gothic"/>
                <w:b/>
                <w:color w:val="04242F"/>
                <w:sz w:val="19"/>
              </w:rPr>
              <w:t>5  KEY MESSAGE</w:t>
            </w:r>
          </w:p>
          <w:p>
            <w:pPr>
              <w:spacing w:after="0"/>
              <w:jc w:val="center"/>
            </w:pPr>
            <w:r>
              <w:rPr>
                <w:color w:val="1F2D33"/>
                <w:sz w:val="17"/>
              </w:rPr>
              <w:t>One sentence in a coloured box, large font</w:t>
            </w:r>
          </w:p>
        </w:tc>
      </w:tr>
      <w:tr>
        <w:trPr>
          <w:cantSplit w:val="true"/>
          <w:trHeight w:val="2381" w:hRule="atLeast"/>
          <w:trHeight w:val="2381" w:hRule="atLeast"/>
          <w:trHeight w:val="2381" w:hRule="atLeast"/>
        </w:trPr>
        <w:tc>
          <w:tcPr>
            <w:tcW w:type="dxa" w:w="3005"/>
            <w:tcBorders>
              <w:top w:val="single" w:sz="12" w:color="FFFFFF"/>
              <w:left w:val="single" w:sz="12" w:color="FFFFFF"/>
              <w:bottom w:val="single" w:sz="12" w:color="FFFFFF"/>
              <w:right w:val="single" w:sz="12" w:color="FFFFFF"/>
            </w:tcBorders>
            <w:shd w:val="clear" w:color="auto" w:fill="EAF2F5"/>
            <w:vAlign w:val="center"/>
          </w:tcPr>
          <w:p>
            <w:pPr>
              <w:spacing w:after="40"/>
              <w:jc w:val="center"/>
            </w:pPr>
            <w:r>
              <w:rPr>
                <w:rFonts w:ascii="Century Gothic" w:hAnsi="Century Gothic" w:cs="Century Gothic" w:eastAsia="Century Gothic"/>
                <w:b/>
                <w:color w:val="04242F"/>
                <w:sz w:val="19"/>
              </w:rPr>
              <w:t>2  Methods</w:t>
            </w:r>
          </w:p>
          <w:p>
            <w:pPr>
              <w:spacing w:after="0"/>
              <w:jc w:val="center"/>
            </w:pPr>
            <w:r>
              <w:rPr>
                <w:color w:val="1F2D33"/>
                <w:sz w:val="17"/>
              </w:rPr>
              <w:t>Flow diagram or design picture; setting; participants; outcome; analysis in 3 lines</w:t>
            </w:r>
          </w:p>
        </w:tc>
        <w:tc>
          <w:tcPr>
            <w:tcW w:type="dxa" w:w="3288"/>
            <w:tcBorders>
              <w:top w:val="single" w:sz="12" w:color="FFFFFF"/>
              <w:left w:val="single" w:sz="12" w:color="FFFFFF"/>
              <w:bottom w:val="single" w:sz="12" w:color="FFFFFF"/>
              <w:right w:val="single" w:sz="12" w:color="FFFFFF"/>
            </w:tcBorders>
            <w:shd w:val="clear" w:color="auto" w:fill="F3F8F7"/>
            <w:vAlign w:val="center"/>
          </w:tcPr>
          <w:p>
            <w:pPr>
              <w:spacing w:after="40"/>
              <w:jc w:val="center"/>
            </w:pPr>
            <w:r>
              <w:rPr>
                <w:rFonts w:ascii="Century Gothic" w:hAnsi="Century Gothic" w:cs="Century Gothic" w:eastAsia="Century Gothic"/>
                <w:b/>
                <w:color w:val="04242F"/>
                <w:sz w:val="19"/>
              </w:rPr>
              <w:t>4  Results: Table 1 (short) or second figure</w:t>
            </w:r>
          </w:p>
        </w:tc>
        <w:tc>
          <w:tcPr>
            <w:tcW w:type="dxa" w:w="3118"/>
            <w:tcBorders>
              <w:top w:val="single" w:sz="12" w:color="FFFFFF"/>
              <w:left w:val="single" w:sz="12" w:color="FFFFFF"/>
              <w:bottom w:val="single" w:sz="12" w:color="FFFFFF"/>
              <w:right w:val="single" w:sz="12" w:color="FFFFFF"/>
            </w:tcBorders>
            <w:shd w:val="clear" w:color="auto" w:fill="EAF2F5"/>
            <w:vAlign w:val="center"/>
          </w:tcPr>
          <w:p>
            <w:pPr>
              <w:spacing w:after="40"/>
              <w:jc w:val="center"/>
            </w:pPr>
            <w:r>
              <w:rPr>
                <w:rFonts w:ascii="Century Gothic" w:hAnsi="Century Gothic" w:cs="Century Gothic" w:eastAsia="Century Gothic"/>
                <w:b/>
                <w:color w:val="04242F"/>
                <w:sz w:val="19"/>
              </w:rPr>
              <w:t>6  Conclusions &amp; limitations</w:t>
            </w:r>
          </w:p>
          <w:p>
            <w:pPr>
              <w:spacing w:after="0"/>
              <w:jc w:val="center"/>
            </w:pPr>
            <w:r>
              <w:rPr>
                <w:color w:val="1F2D33"/>
                <w:sz w:val="17"/>
              </w:rPr>
              <w:t>3 bullets</w:t>
            </w:r>
          </w:p>
        </w:tc>
      </w:tr>
      <w:tr>
        <w:trPr>
          <w:cantSplit w:val="true"/>
          <w:trHeight w:val="737" w:hRule="atLeast"/>
        </w:trPr>
        <w:tc>
          <w:tcPr>
            <w:tcW w:type="dxa" w:w="9411"/>
            <w:gridSpan w:val="3"/>
            <w:tcBorders>
              <w:top w:val="single" w:sz="12" w:color="FFFFFF"/>
              <w:left w:val="single" w:sz="12" w:color="FFFFFF"/>
              <w:bottom w:val="single" w:sz="12" w:color="FFFFFF"/>
              <w:right w:val="single" w:sz="12" w:color="FFFFFF"/>
            </w:tcBorders>
            <w:shd w:val="clear" w:color="auto" w:fill="E3E8EA"/>
            <w:vAlign w:val="center"/>
          </w:tcPr>
          <w:p>
            <w:pPr>
              <w:spacing w:after="40"/>
              <w:jc w:val="center"/>
            </w:pPr>
            <w:r>
              <w:rPr>
                <w:rFonts w:ascii="Century Gothic" w:hAnsi="Century Gothic" w:cs="Century Gothic" w:eastAsia="Century Gothic"/>
                <w:b/>
                <w:color w:val="04242F"/>
                <w:sz w:val="19"/>
              </w:rPr>
              <w:t>References (3–5, small) · funding · ethics approval · contact email · QR code to the abstract or paper</w:t>
            </w:r>
          </w:p>
        </w:tc>
      </w:tr>
    </w:tbl>
    <w:p>
      <w:pPr>
        <w:spacing w:after="0" w:line="160" w:lineRule="exact"/>
      </w:pP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2041"/>
        <w:gridCol w:w="7371"/>
      </w:tblGrid>
      <w:tr>
        <w:trPr>
          <w:cantSplit w:val="true"/>
          <w:tblHeader w:val="true"/>
        </w:trPr>
        <w:tc>
          <w:tcPr>
            <w:tcW w:type="dxa" w:w="204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Rule</w:t>
            </w:r>
          </w:p>
        </w:tc>
        <w:tc>
          <w:tcPr>
            <w:tcW w:type="dxa" w:w="7370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Guide</w:t>
            </w:r>
          </w:p>
        </w:tc>
      </w:tr>
      <w:tr>
        <w:trPr>
          <w:cantSplit w:val="true"/>
        </w:trPr>
        <w:tc>
          <w:tcPr>
            <w:tcW w:type="dxa" w:w="20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8"/>
              </w:rPr>
              <w:t>Text size</w:t>
            </w:r>
          </w:p>
        </w:tc>
        <w:tc>
          <w:tcPr>
            <w:tcW w:type="dxa" w:w="737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Title ≥ 85 pt; headings ≥ 36 pt; body ≥ 24 pt (readable from 1.5 m)</w:t>
            </w:r>
          </w:p>
        </w:tc>
      </w:tr>
      <w:tr>
        <w:trPr>
          <w:cantSplit w:val="true"/>
        </w:trPr>
        <w:tc>
          <w:tcPr>
            <w:tcW w:type="dxa" w:w="20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8"/>
              </w:rPr>
              <w:t>Amount of text</w:t>
            </w:r>
          </w:p>
        </w:tc>
        <w:tc>
          <w:tcPr>
            <w:tcW w:type="dxa" w:w="737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≤ 800 words in total; bullets, not paragraphs</w:t>
            </w:r>
          </w:p>
        </w:tc>
      </w:tr>
      <w:tr>
        <w:trPr>
          <w:cantSplit w:val="true"/>
        </w:trPr>
        <w:tc>
          <w:tcPr>
            <w:tcW w:type="dxa" w:w="20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8"/>
              </w:rPr>
              <w:t>Figures</w:t>
            </w:r>
          </w:p>
        </w:tc>
        <w:tc>
          <w:tcPr>
            <w:tcW w:type="dxa" w:w="737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Large, simple, labelled axes with units; the same colour for the same group everywhere</w:t>
            </w:r>
          </w:p>
        </w:tc>
      </w:tr>
      <w:tr>
        <w:trPr>
          <w:cantSplit w:val="true"/>
        </w:trPr>
        <w:tc>
          <w:tcPr>
            <w:tcW w:type="dxa" w:w="20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8"/>
              </w:rPr>
              <w:t>Numbers</w:t>
            </w:r>
          </w:p>
        </w:tc>
        <w:tc>
          <w:tcPr>
            <w:tcW w:type="dxa" w:w="737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Effect sizes with 95% CI, as in the abstract. The numbers must match</w:t>
            </w:r>
          </w:p>
        </w:tc>
      </w:tr>
      <w:tr>
        <w:trPr>
          <w:cantSplit w:val="true"/>
        </w:trPr>
        <w:tc>
          <w:tcPr>
            <w:tcW w:type="dxa" w:w="20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8"/>
              </w:rPr>
              <w:t>Colours</w:t>
            </w:r>
          </w:p>
        </w:tc>
        <w:tc>
          <w:tcPr>
            <w:tcW w:type="dxa" w:w="737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2–3 colours plus grey; dark text on a light background; check colour-blind safety</w:t>
            </w:r>
          </w:p>
        </w:tc>
      </w:tr>
      <w:tr>
        <w:trPr>
          <w:cantSplit w:val="true"/>
        </w:trPr>
        <w:tc>
          <w:tcPr>
            <w:tcW w:type="dxa" w:w="20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8"/>
              </w:rPr>
              <w:t>At the poster</w:t>
            </w:r>
          </w:p>
        </w:tc>
        <w:tc>
          <w:tcPr>
            <w:tcW w:type="dxa" w:w="737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8"/>
              </w:rPr>
              <w:t>A 1-minute spoken summary; A4 handouts or a QR code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74" w:right="1247" w:bottom="1247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411" w:val="right"/>
      </w:tabs>
    </w:pPr>
    <w:r>
      <w:rPr>
        <w:color w:val="8A99A3"/>
        <w:sz w:val="16"/>
      </w:rPr>
      <w:t xml:space="preserve">Foundations of Clinical Research  ·  Neudata Consulting Ltd · </w:t>
    </w:r>
    <w:r>
      <w:rPr>
        <w:i/>
        <w:color w:val="8A99A3"/>
        <w:sz w:val="16"/>
      </w:rPr>
      <w:t>Insight. Impact. Innovation.</w:t>
    </w:r>
    <w:r>
      <w:tab/>
    </w:r>
    <w:r>
      <w:rPr>
        <w:color w:val="8A99A3"/>
        <w:sz w:val="16"/>
      </w:rPr>
      <w:t xml:space="preserve">Page </w:t>
    </w:r>
    <w:r>
      <w:rPr>
        <w:color w:val="8A99A3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8A99A3"/>
        <w:sz w:val="16"/>
      </w:rPr>
      <w:t xml:space="preserve"> of </w:t>
    </w:r>
    <w:r>
      <w:rPr>
        <w:color w:val="8A99A3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055F56"/>
      </w:pBdr>
      <w:tabs>
        <w:tab w:pos="9411" w:val="right"/>
      </w:tabs>
    </w:pPr>
    <w:r>
      <w:rPr>
        <w:color w:val="04242F"/>
        <w:sz w:val="16"/>
      </w:rPr>
      <w:t>Conference abstract and poster</w:t>
    </w:r>
    <w:r>
      <w:tab/>
      <w:drawing>
        <wp:inline xmlns:a="http://schemas.openxmlformats.org/drawingml/2006/main" xmlns:pic="http://schemas.openxmlformats.org/drawingml/2006/picture">
          <wp:extent cx="493269" cy="34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eudata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3269" cy="34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color w:val="1F2D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  <w:rPr>
      <w:rFonts w:ascii="Arial" w:hAnsi="Arial" w:cs="Arial" w:eastAsia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rFonts w:ascii="Arial" w:hAnsi="Arial" w:cs="Arial" w:eastAsia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10" w:space="4" w:color="055F56"/>
      </w:pBdr>
      <w:spacing w:before="320" w:after="100"/>
      <w:outlineLvl w:val="0"/>
    </w:pPr>
    <w:rPr>
      <w:rFonts w:ascii="Century Gothic" w:hAnsi="Century Gothic" w:cs="Century Gothic" w:eastAsia="Century Gothic"/>
      <w:b/>
      <w:bCs/>
      <w:i w:val="0"/>
      <w:color w:val="04242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="Century Gothic" w:hAnsi="Century Gothic" w:cs="Century Gothic" w:eastAsia="Century Gothic"/>
      <w:b/>
      <w:bCs/>
      <w:i w:val="0"/>
      <w:color w:val="0B376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="Century Gothic" w:hAnsi="Century Gothic" w:cs="Century Gothic" w:eastAsia="Century Gothic"/>
      <w:b/>
      <w:bCs/>
      <w:i w:val="0"/>
      <w:color w:val="055F56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Century Gothic" w:hAnsi="Century Gothic" w:cs="Century Gothic" w:eastAsia="Century Gothic"/>
      <w:b/>
      <w:color w:val="04242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="Century Gothic" w:hAnsi="Century Gothic" w:cs="Century Gothic" w:eastAsia="Century Gothic"/>
      <w:b w:val="0"/>
      <w:i w:val="0"/>
      <w:iCs/>
      <w:color w:val="055F56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Arial" w:hAnsi="Arial" w:cs="Arial" w:eastAsia="Arial"/>
      <w:color w:val="1F2D33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  <w:rPr>
      <w:rFonts w:ascii="Arial" w:hAnsi="Arial" w:cs="Arial" w:eastAsia="Arial"/>
      <w:color w:val="1F2D33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04242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eyFindings">
    <w:name w:val="Key Findings"/>
    <w:basedOn w:val="Normal"/>
    <w:pPr>
      <w:pBdr>
        <w:left w:val="single" w:sz="30" w:space="8" w:color="055F56"/>
      </w:pBdr>
      <w:shd w:val="clear" w:color="auto" w:fill="EAF2F5"/>
      <w:ind w:left="198"/>
    </w:pPr>
    <w:rPr>
      <w:rFonts w:ascii="Arial" w:hAnsi="Arial" w:cs="Arial" w:eastAsia="Arial"/>
      <w:color w:val="04242F"/>
      <w:sz w:val="21"/>
    </w:rPr>
  </w:style>
  <w:style w:type="paragraph" w:customStyle="1" w:styleId="Guidance">
    <w:name w:val="Guidance"/>
    <w:basedOn w:val="Normal"/>
    <w:pPr>
      <w:keepNext/>
      <w:spacing w:after="80"/>
    </w:pPr>
    <w:rPr>
      <w:rFonts w:ascii="Arial" w:hAnsi="Arial" w:cs="Arial" w:eastAsia="Arial"/>
      <w:i/>
      <w:color w:val="6B7B84"/>
      <w:sz w:val="19"/>
    </w:rPr>
  </w:style>
  <w:style w:type="paragraph" w:customStyle="1" w:styleId="Example">
    <w:name w:val="Example"/>
    <w:basedOn w:val="Normal"/>
    <w:pPr>
      <w:pBdr>
        <w:left w:val="single" w:sz="24" w:space="8" w:color="9FD3CB"/>
      </w:pBdr>
      <w:shd w:val="clear" w:color="auto" w:fill="F3F8F7"/>
      <w:spacing w:after="120"/>
      <w:ind w:left="198"/>
    </w:pPr>
    <w:rPr>
      <w:rFonts w:ascii="Arial" w:hAnsi="Arial" w:cs="Arial" w:eastAsia="Arial"/>
      <w:i/>
      <w:color w:val="6B7B84"/>
      <w:sz w:val="19"/>
    </w:rPr>
  </w:style>
  <w:style w:type="paragraph" w:customStyle="1" w:styleId="NeudataSmall">
    <w:name w:val="Neudata Small"/>
    <w:basedOn w:val="Normal"/>
    <w:pPr>
      <w:spacing w:after="0"/>
    </w:pPr>
    <w:rPr>
      <w:rFonts w:ascii="Arial" w:hAnsi="Arial" w:cs="Arial" w:eastAsia="Arial"/>
      <w:color w:val="8A99A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abstract template</dc:title>
  <dc:subject>Structured abstract and poster layout guide</dc:subject>
  <dc:creator>Neudata Consulting Ltd</dc:creator>
  <cp:keywords/>
  <dc:description>Generated by Course/Templates/build_documents.py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