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Writing and submission checklist</w:t>
      </w:r>
    </w:p>
    <w:p>
      <w:pPr>
        <w:pStyle w:val="Subtitle"/>
      </w:pPr>
      <w:r>
        <w:t>Before you press “Submit”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Sessions 7–8 (7.3, 8.1–8.2)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154"/>
        <w:gridCol w:w="7257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Manuscript: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[Working title]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Target journal: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[Journal]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Checked by / date: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[Name(s), DD/MM/YYYY]</w:t>
            </w:r>
          </w:p>
        </w:tc>
      </w:tr>
    </w:tbl>
    <w:p>
      <w:pPr>
        <w:spacing w:after="0" w:line="80" w:lineRule="exact"/>
      </w:pPr>
    </w:p>
    <w:p>
      <w:pPr>
        <w:pStyle w:val="Guidance"/>
      </w:pPr>
      <w:r>
        <w:rPr>
          <w:i/>
        </w:rPr>
        <w:t>Tick each item. Ask a co-author who did not write the section to check it against the tables.</w:t>
      </w:r>
    </w:p>
    <w:p>
      <w:pPr>
        <w:pStyle w:val="Heading3"/>
      </w:pPr>
      <w:r>
        <w:t>Title and keywords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Title states population, intervention/exposure, outcome and design; no abbreviations; within the limit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3–6 keywords (MeSH where possible) that do not just repeat the title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Abstract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Structured as the journal requires; within the word limit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Primary outcome reported first, with effect size and 95% CI; numbers identical to the Results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Conclusion matches the design (no spin, no causal words for observational data); registration number given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Introduction and Methods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Introduction is a funnel: known, then unknown, then aim; ends with the aim or hypothesis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Methods allow replication: design, setting, dates, eligibility, intervention/exposure, outcomes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Sample size calculation, statistical methods, handling of missing data and software are described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Ethics approval (committee, number) and consent procedure stated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Results and numbers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Participant flow first (flow diagram with numbers and reasons at each step)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Every percentage has its numerator and denominator; denominators add up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Effect sizes with 95% CIs; exact p-values (p = 0.042, not p &lt; 0.05; p &lt; 0.001 allowed)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Decimal places consistent; units given; each number in one place (text OR table)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No interpretation in the Results; results of all pre-specified outcomes reported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Tables and figures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Each stands alone: informative title, units, n per column, footnotes for abbreviations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Numbers in tables match the text and the abstract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Figures show the data (no 3-D, no truncated axes); resolution and format as required (e.g. ≥ 300 dpi)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Discussion and conclusion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Six moves: answer, compare, explain, limitations, implications, conclusion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Limitations are specific, with their likely direction of bias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Language calibrated: “associated with” for observational studies; no “trend” for p = 0.42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Reporting guideline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Correct guideline chosen (CONSORT, STROBE, STARD, PRISMA, other via EQUATOR)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Checklist completed with page numbers; flow diagram included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Declarations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Ethics, consent, registration, funding, competing interests (ICMJE forms) completed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Data availability statement; use of AI disclosed; CRediT author contributions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All authors meet the ICMJE criteria and approved the final version; ORCID iDs added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References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Journal style used consistently; every citation in the list and vice versa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Each reference checked against the original; no retracted papers; DOIs added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Journal fit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Scope, readership and article type fit; word, table and figure limits respected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Journal is indexed (e.g. PubMed/MEDLINE, DOAJ) and not predatory; fees (APC) and licence known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Cover letter and submission package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One-page cover letter to the named editor: question, main finding, why this journal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Statements of originality, no simultaneous submission, preprint disclosed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Title page, blinded manuscript (if required), figures, supplementary files, checklist, suggested reviewers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After acceptance: proofs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Proofs checked within the deadline: author names, affiliations, numbers, tables, figures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Only corrections, no new content; licence and open-access choices confirmed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Paper shared: institution, repository (as allowed), colleagues and patients; registry updated with results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Writing and submission checklist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and submission checklist</dc:title>
  <dc:subject>Pre-submission checklist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