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concept note</w:t>
      </w:r>
    </w:p>
    <w:p>
      <w:pPr>
        <w:pStyle w:val="Subtitle"/>
      </w:pPr>
      <w:r>
        <w:t>FLUID-BAL: fluid balance and survival in ICU sepsis</w:t>
      </w:r>
    </w:p>
    <w:p>
      <w:pPr>
        <w:pStyle w:val="NeudataSmall"/>
        <w:spacing w:after="160"/>
      </w:pPr>
      <w:r>
        <w:t>Foundations of Clinical Research</w:t>
      </w:r>
      <w:r>
        <w:t xml:space="preserve">  ·  2-page concept note with funder tips</w:t>
      </w:r>
    </w:p>
    <w:tbl>
      <w:tblPr>
        <w:tblW w:type="auto" w:w="0"/>
        <w:jc w:val="center"/>
        <w:tblLayout w:type="fixed"/>
        <w:tblCellMar>
          <w:top w:w="90" w:type="dxa"/>
          <w:left w:w="160" w:type="dxa"/>
          <w:bottom w:w="90" w:type="dxa"/>
          <w:right w:w="160" w:type="dxa"/>
        </w:tblCellMar>
        <w:tblLook w:firstColumn="1" w:firstRow="1" w:lastColumn="0" w:lastRow="0" w:noHBand="0" w:noVBand="1" w:val="04A0"/>
      </w:tblPr>
      <w:tblGrid>
        <w:gridCol w:w="9412"/>
      </w:tblGrid>
      <w:tr>
        <w:tc>
          <w:tcPr>
            <w:tcW w:type="dxa" w:w="9411"/>
            <w:tcBorders>
              <w:top w:val="single" w:sz="12" w:color="B03A2E"/>
              <w:left w:val="single" w:sz="12" w:color="B03A2E"/>
              <w:bottom w:val="single" w:sz="12" w:color="B03A2E"/>
              <w:right w:val="single" w:sz="12" w:color="B03A2E"/>
            </w:tcBorders>
            <w:shd w:val="clear" w:color="auto" w:fill="FCEDEA"/>
          </w:tcPr>
          <w:p>
            <w:pPr>
              <w:spacing w:after="40"/>
              <w:jc w:val="center"/>
            </w:pPr>
            <w:r>
              <w:rPr>
                <w:rFonts w:ascii="Century Gothic" w:hAnsi="Century Gothic" w:cs="Century Gothic" w:eastAsia="Century Gothic"/>
                <w:b/>
                <w:color w:val="B03A2E"/>
                <w:sz w:val="26"/>
              </w:rPr>
              <w:t>FICTIONAL EXAMPLE FOR TRAINING</w:t>
            </w:r>
          </w:p>
          <w:p>
            <w:pPr>
              <w:spacing w:after="0"/>
              <w:jc w:val="center"/>
            </w:pPr>
            <w:r>
              <w:rPr>
                <w:color w:val="7A2A22"/>
                <w:sz w:val="18"/>
              </w:rPr>
              <w:t>Invented for teaching: the study, team and budget are not real. The right-hand column shows what funders look for in each section.</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19"/>
              </w:rPr>
              <w:t>Funder / call:</w:t>
            </w:r>
          </w:p>
        </w:tc>
        <w:tc>
          <w:tcPr>
            <w:tcW w:type="dxa" w:w="7370"/>
          </w:tcPr>
          <w:p>
            <w:pPr>
              <w:spacing w:after="0"/>
            </w:pPr>
            <w:r>
              <w:rPr>
                <w:sz w:val="19"/>
              </w:rPr>
              <w:t>[Funder name], small research grants for health professionals, [year]</w:t>
            </w:r>
          </w:p>
        </w:tc>
      </w:tr>
      <w:tr>
        <w:tc>
          <w:tcPr>
            <w:tcW w:type="dxa" w:w="2041"/>
          </w:tcPr>
          <w:p>
            <w:pPr>
              <w:spacing w:after="0"/>
            </w:pPr>
            <w:r>
              <w:rPr>
                <w:b/>
                <w:color w:val="04242F"/>
                <w:sz w:val="19"/>
              </w:rPr>
              <w:t>Applicant:</w:t>
            </w:r>
          </w:p>
        </w:tc>
        <w:tc>
          <w:tcPr>
            <w:tcW w:type="dxa" w:w="7370"/>
          </w:tcPr>
          <w:p>
            <w:pPr>
              <w:spacing w:after="0"/>
            </w:pPr>
            <w:r>
              <w:rPr>
                <w:sz w:val="19"/>
              </w:rPr>
              <w:t>[Name], consultant intensivist, Department of Intensive Care, [Institution]</w:t>
            </w:r>
          </w:p>
        </w:tc>
      </w:tr>
      <w:tr>
        <w:tc>
          <w:tcPr>
            <w:tcW w:type="dxa" w:w="2041"/>
          </w:tcPr>
          <w:p>
            <w:pPr>
              <w:spacing w:after="0"/>
            </w:pPr>
            <w:r>
              <w:rPr>
                <w:b/>
                <w:color w:val="04242F"/>
                <w:sz w:val="19"/>
              </w:rPr>
              <w:t>Amount / duration:</w:t>
            </w:r>
          </w:p>
        </w:tc>
        <w:tc>
          <w:tcPr>
            <w:tcW w:type="dxa" w:w="7370"/>
          </w:tcPr>
          <w:p>
            <w:pPr>
              <w:spacing w:after="0"/>
            </w:pPr>
            <w:r>
              <w:rPr>
                <w:sz w:val="19"/>
              </w:rPr>
              <w:t>USD 18,040  ·  24 months</w:t>
            </w:r>
          </w:p>
        </w:tc>
      </w:tr>
    </w:tbl>
    <w:p>
      <w:pPr>
        <w:spacing w:after="0" w:line="80" w:lineRule="exact"/>
      </w:pPr>
    </w:p>
    <w:tbl>
      <w:tblPr>
        <w:tblW w:type="auto" w:w="0"/>
        <w:tblBorders>
          <w:top w:val="nil"/>
          <w:left w:val="nil"/>
          <w:bottom w:val="nil"/>
          <w:right w:val="nil"/>
          <w:insideH w:val="nil"/>
          <w:insideV w:val="nil"/>
        </w:tblBorders>
        <w:tblLayout w:type="fixed"/>
        <w:tblCellMar>
          <w:top w:w="60" w:type="dxa"/>
          <w:left w:w="120" w:type="dxa"/>
          <w:bottom w:w="60" w:type="dxa"/>
          <w:right w:w="120" w:type="dxa"/>
        </w:tblCellMar>
        <w:tblLook w:firstColumn="1" w:firstRow="1" w:lastColumn="0" w:lastRow="0" w:noHBand="0" w:noVBand="1" w:val="04A0"/>
      </w:tblPr>
      <w:tblGrid>
        <w:gridCol w:w="6690"/>
        <w:gridCol w:w="2721"/>
      </w:tblGrid>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1  Problem</w:t>
            </w:r>
          </w:p>
          <w:p>
            <w:pPr>
              <w:spacing w:after="40" w:line="259" w:lineRule="auto"/>
            </w:pPr>
            <w:r>
              <w:rPr>
                <w:sz w:val="19"/>
              </w:rPr>
              <w:t>Sepsis is one of the commonest reasons for ICU admission at [Institution], with about 250 adult cases a year and a 28-day mortality of about one in four. Patients receive large volumes of intravenous fluid, and studies elsewhere link a positive fluid balance to death. But these studies cannot separate the effect of fluid from the effect of being sicker, and we have no data on our own practice. Without them we cannot design a trial of fluid restriction or improve fluid prescribing.</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State the size of the problem with numbers, then the gap, in under 120 words. Local data beat general statements.</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2  Objectives</w:t>
            </w:r>
          </w:p>
          <w:p>
            <w:pPr>
              <w:spacing w:after="40" w:line="259" w:lineRule="auto"/>
            </w:pPr>
            <w:r>
              <w:rPr>
                <w:sz w:val="19"/>
              </w:rPr>
              <w:t>Primary: to estimate the association between cumulative fluid balance at day 5 (ml/kg) and 28-day mortality, adjusted for severity. Secondary: to describe where fluid comes from (including hidden sources) and to measure the completeness of fluid charts.</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One primary objective, one or two secondary ones. Each must be measurable and match the budget.</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3  Approach</w:t>
            </w:r>
          </w:p>
          <w:p>
            <w:pPr>
              <w:spacing w:after="40" w:line="259" w:lineRule="auto"/>
            </w:pPr>
            <w:r>
              <w:rPr>
                <w:sz w:val="19"/>
              </w:rPr>
              <w:t>Prospective cohort of about 320 consecutive adults with sepsis over 18 months. Trained ICU nurses record daily fluid input and output and severity scores from routine charts on a piloted CRF. Logistic regression adjusted for age, SOFA, lactate and infection source. No change to care; ethics approval with a consent waiver is being sought.</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Show that the design fits the question and that it is feasible: patients per month, who collects data, how bias is handled.</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4  Expected outcomes and impact</w:t>
            </w:r>
          </w:p>
          <w:p>
            <w:pPr>
              <w:spacing w:after="40" w:line="259" w:lineRule="auto"/>
            </w:pPr>
            <w:r>
              <w:rPr>
                <w:sz w:val="19"/>
              </w:rPr>
              <w:t>A peer-reviewed paper (STROBE); a fluid-practice report and teaching session for ICU staff; a revised fluid chart; and the effect size, recruitment rate and data completeness needed to plan a multicentre trial of fluid restriction.</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List concrete outputs and who will use them. Funders like a clear “next step”.</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5  Team</w:t>
            </w:r>
          </w:p>
          <w:p>
            <w:pPr>
              <w:spacing w:after="40" w:line="259" w:lineRule="auto"/>
            </w:pPr>
            <w:r>
              <w:rPr>
                <w:sz w:val="19"/>
              </w:rPr>
              <w:t>Consultant intensivist (PI, 10% time); ICU nurse manager (data collection lead); clinical pharmacist (fluid prescriptions); biostatistician from the [Institution] research office. Two team members completed a clinical research methods course in [year].</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Show the skills match the tasks. Naming a statistician from the start is a strong signal.</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6  Timeline</w:t>
            </w:r>
          </w:p>
          <w:p>
            <w:pPr>
              <w:spacing w:after="20" w:line="259" w:lineRule="auto"/>
            </w:pPr>
            <w:r>
              <w:rPr>
                <w:b/>
                <w:color w:val="04242F"/>
                <w:sz w:val="19"/>
              </w:rPr>
              <w:t xml:space="preserve">Months 1–3: </w:t>
            </w:r>
            <w:r>
              <w:rPr>
                <w:sz w:val="19"/>
              </w:rPr>
              <w:t>ethics approval, registry entry, CRF pilot and nurse training</w:t>
            </w:r>
          </w:p>
          <w:p>
            <w:pPr>
              <w:spacing w:after="20" w:line="259" w:lineRule="auto"/>
            </w:pPr>
            <w:r>
              <w:rPr>
                <w:b/>
                <w:color w:val="04242F"/>
                <w:sz w:val="19"/>
              </w:rPr>
              <w:t xml:space="preserve">Months 4–21: </w:t>
            </w:r>
            <w:r>
              <w:rPr>
                <w:sz w:val="19"/>
              </w:rPr>
              <w:t>recruitment and day-28 follow-up; quarterly data-quality reports</w:t>
            </w:r>
          </w:p>
          <w:p>
            <w:pPr>
              <w:spacing w:after="20" w:line="259" w:lineRule="auto"/>
            </w:pPr>
            <w:r>
              <w:rPr>
                <w:b/>
                <w:color w:val="04242F"/>
                <w:sz w:val="19"/>
              </w:rPr>
              <w:t xml:space="preserve">Months 22–24: </w:t>
            </w:r>
            <w:r>
              <w:rPr>
                <w:sz w:val="19"/>
              </w:rPr>
              <w:t>analysis, staff feedback, manuscript submission</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Be realistic: approvals and recruitment usually take longer than planned. Show milestones.</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7  Budget summary (USD)</w:t>
            </w:r>
          </w:p>
          <w:p>
            <w:pPr>
              <w:spacing w:after="20" w:line="259" w:lineRule="auto"/>
            </w:pPr>
            <w:r>
              <w:rPr>
                <w:sz w:val="19"/>
              </w:rPr>
              <w:t>Research nurse time (0.2 FTE × 18 months) 9,000 · Training and printing 600 · Data management 1,500 · Statistical support 2,500 · Ethics fee 300 · Open-access fee 2,500 · Contingency (10%) 1,640</w:t>
            </w:r>
          </w:p>
          <w:p>
            <w:pPr>
              <w:spacing w:after="20" w:line="259" w:lineRule="auto"/>
            </w:pPr>
            <w:r>
              <w:rPr>
                <w:b/>
                <w:color w:val="04242F"/>
                <w:sz w:val="19"/>
              </w:rPr>
              <w:t>Total: USD 18,040</w:t>
            </w:r>
            <w:r>
              <w:rPr>
                <w:sz w:val="19"/>
              </w:rPr>
              <w:t xml:space="preserve"> · In kind from [Institution]: PI time, office space, IT.</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Every line should link to an activity. Show what your institution contributes. Avoid “miscellaneous”.</w:t>
            </w:r>
          </w:p>
        </w:tc>
      </w:tr>
      <w:tr>
        <w:trPr>
          <w:cantSplit w:val="true"/>
        </w:trPr>
        <w:tc>
          <w:tcPr>
            <w:tcW w:type="dxa" w:w="6690"/>
            <w:tcBorders>
              <w:top w:val="nil"/>
              <w:left w:val="nil"/>
              <w:bottom w:val="nil"/>
              <w:right w:val="nil"/>
            </w:tcBorders>
          </w:tcPr>
          <w:p>
            <w:pPr>
              <w:pBdr>
                <w:bottom w:val="single" w:sz="4" w:space="1" w:color="9FD3CB"/>
              </w:pBdr>
              <w:spacing w:after="20"/>
            </w:pPr>
            <w:r>
              <w:rPr>
                <w:rFonts w:ascii="Century Gothic" w:hAnsi="Century Gothic" w:cs="Century Gothic" w:eastAsia="Century Gothic"/>
                <w:b/>
                <w:color w:val="04242F"/>
                <w:sz w:val="21"/>
              </w:rPr>
              <w:t>8  Why fund this now?</w:t>
            </w:r>
          </w:p>
          <w:p>
            <w:pPr>
              <w:spacing w:after="40" w:line="259" w:lineRule="auto"/>
            </w:pPr>
            <w:r>
              <w:rPr>
                <w:sz w:val="19"/>
              </w:rPr>
              <w:t>The study is low-cost, needs no new equipment and uses data already collected. It turns routine charts into evidence and produces exactly what is needed to apply for a larger trial grant.</w:t>
            </w:r>
          </w:p>
        </w:tc>
        <w:tc>
          <w:tcPr>
            <w:tcW w:type="dxa" w:w="2721"/>
            <w:tcBorders>
              <w:top w:val="single" w:sz="4" w:color="EAF2F5"/>
              <w:left w:val="single" w:sz="18" w:color="055F56"/>
              <w:bottom w:val="single" w:sz="12" w:color="FFFFFF"/>
              <w:right w:val="single" w:sz="4" w:color="EAF2F5"/>
            </w:tcBorders>
            <w:shd w:val="clear" w:color="auto" w:fill="EAF2F5"/>
          </w:tcPr>
          <w:p>
            <w:pPr>
              <w:spacing w:after="20"/>
            </w:pPr>
            <w:r>
              <w:rPr>
                <w:rFonts w:ascii="Century Gothic" w:hAnsi="Century Gothic" w:cs="Century Gothic" w:eastAsia="Century Gothic"/>
                <w:b/>
                <w:color w:val="055F56"/>
                <w:sz w:val="16"/>
              </w:rPr>
              <w:t>Funder tip</w:t>
            </w:r>
          </w:p>
          <w:p>
            <w:pPr>
              <w:spacing w:after="0" w:line="252" w:lineRule="auto"/>
            </w:pPr>
            <w:r>
              <w:rPr>
                <w:i/>
                <w:color w:val="1F2D33"/>
                <w:sz w:val="17"/>
              </w:rPr>
              <w:t>End with value for money and what the grant will lead to next.</w:t>
            </w:r>
          </w:p>
        </w:tc>
      </w:tr>
    </w:tbl>
    <w:sectPr w:rsidR="00FC693F" w:rsidRPr="0006063C" w:rsidSect="00034616">
      <w:headerReference w:type="default" r:id="rId9"/>
      <w:footerReference w:type="default" r:id="rId10"/>
      <w:pgSz w:w="11906" w:h="16838"/>
      <w:pgMar w:top="1304" w:right="1247" w:bottom="1020"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Foundations of Clinical Research  ·  Neudata Consulting Ltd · </w:t>
    </w:r>
    <w:r>
      <w:rPr>
        <w:i/>
        <w:color w:val="8A99A3"/>
        <w:sz w:val="16"/>
      </w:rPr>
      <w:t>Insight. Impact. Innovation.</w:t>
    </w:r>
    <w:r>
      <w:tab/>
    </w:r>
    <w:r>
      <w:rPr>
        <w:color w:val="8A99A3"/>
        <w:sz w:val="16"/>
      </w:rPr>
      <w:t xml:space="preserve">Page </w:t>
    </w:r>
    <w:r>
      <w:rPr>
        <w:color w:val="8A99A3"/>
        <w:sz w:val="16"/>
      </w:rPr>
      <w:fldChar w:fldCharType="begin"/>
      <w:instrText xml:space="preserve"> PAGE </w:instrText>
      <w:fldChar w:fldCharType="separate"/>
      <w:t>1</w:t>
      <w:fldChar w:fldCharType="end"/>
    </w:r>
    <w:r>
      <w:rPr>
        <w:color w:val="8A99A3"/>
        <w:sz w:val="16"/>
      </w:rPr>
      <w:t xml:space="preserve"> of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FICTIONAL EXAMPLE FOR TRAINING · Sample grant concept note</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entury Gothic" w:hAnsi="Century Gothic" w:cs="Century Gothic" w:eastAsia="Century Gothic"/>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Century Gothic" w:hAnsi="Century Gothic" w:cs="Century Gothic" w:eastAsia="Century Gothic"/>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entury Gothic" w:hAnsi="Century Gothic" w:cs="Century Gothic" w:eastAsia="Century Gothic"/>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Century Gothic" w:hAnsi="Century Gothic" w:cs="Century Gothic" w:eastAsia="Century Gothic"/>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concept note (fictional)</dc:title>
  <dc:subject>Fictional example for training</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cp:coreProperties>
</file>