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Risk-of-bias tool chooser</w:t>
      </w:r>
    </w:p>
    <w:p>
      <w:pPr>
        <w:pStyle w:val="Subtitle"/>
      </w:pPr>
      <w:r>
        <w:t>Which appraisal tool for which study design?</w:t>
      </w:r>
    </w:p>
    <w:p>
      <w:pPr>
        <w:pStyle w:val="NeudataSmall"/>
        <w:spacing w:after="160"/>
      </w:pPr>
      <w:r>
        <w:t>Foundations of Clinical Research</w:t>
      </w:r>
      <w:r>
        <w:t xml:space="preserve">  ·  Session 4 (4.3) and Session 8 (8.3)</w:t>
      </w:r>
    </w:p>
    <w:tbl>
      <w:tblPr>
        <w:tblW w:type="auto" w:w="0"/>
        <w:jc w:val="center"/>
        <w:tblLayout w:type="fixed"/>
        <w:tblCellMar>
          <w:top w:w="100" w:type="dxa"/>
          <w:left w:w="180" w:type="dxa"/>
          <w:bottom w:w="100" w:type="dxa"/>
          <w:right w:w="16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cantSplit w:val="true"/>
        </w:trPr>
        <w:tc>
          <w:tcPr>
            <w:tcW w:type="dxa" w:w="9411"/>
            <w:tcBorders>
              <w:top w:val="single" w:sz="4" w:color="EAF2F5"/>
              <w:left w:val="single" w:sz="24" w:color="055F56"/>
              <w:bottom w:val="single" w:sz="4" w:color="EAF2F5"/>
              <w:right w:val="single" w:sz="4" w:color="EAF2F5"/>
            </w:tcBorders>
            <w:shd w:val="clear" w:color="auto" w:fill="EAF2F5"/>
          </w:tcPr>
          <w:p>
            <w:pPr>
              <w:spacing w:after="60"/>
            </w:pPr>
            <w:r>
              <w:rPr>
                <w:rFonts w:ascii="Century Gothic" w:hAnsi="Century Gothic" w:cs="Century Gothic" w:eastAsia="Century Gothic"/>
                <w:b/>
                <w:color w:val="055F56"/>
                <w:sz w:val="20"/>
              </w:rPr>
              <w:t>How to choose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Step 1: identify the design of the study (use the design decision tree from Session 3).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Step 2: pick the tool in the table. Appraise each outcome you care about, not the whole paper at once.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Step 3: judge each domain (low / some concerns / high risk), then ask: are the conclusions supported by the data? In the course we use the simplified 10-question checklist; use these full tools when you appraise evidence formally (e.g. for a systematic review).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Reporting guidelines (CONSORT, STROBE, ...) tell authors what to REPORT. Risk-of-bias tools judge how TRUSTWORTHY the result is. They are not the same thing.</w:t>
            </w:r>
          </w:p>
        </w:tc>
      </w:tr>
    </w:tbl>
    <w:p>
      <w:pPr>
        <w:spacing w:after="0" w:line="120" w:lineRule="exact"/>
      </w:pP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1984"/>
        <w:gridCol w:w="1644"/>
        <w:gridCol w:w="3969"/>
        <w:gridCol w:w="1814"/>
      </w:tblGrid>
      <w:tr>
        <w:trPr>
          <w:cantSplit w:val="true"/>
          <w:tblHeader w:val="true"/>
        </w:trPr>
        <w:tc>
          <w:tcPr>
            <w:tcW w:type="dxa" w:w="198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Study design</w:t>
            </w:r>
          </w:p>
        </w:tc>
        <w:tc>
          <w:tcPr>
            <w:tcW w:type="dxa" w:w="164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Tool</w:t>
            </w:r>
          </w:p>
        </w:tc>
        <w:tc>
          <w:tcPr>
            <w:tcW w:type="dxa" w:w="396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What it checks</w:t>
            </w:r>
          </w:p>
        </w:tc>
        <w:tc>
          <w:tcPr>
            <w:tcW w:type="dxa" w:w="181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8"/>
              </w:rPr>
              <w:t>Free source</w:t>
            </w:r>
          </w:p>
        </w:tc>
      </w:tr>
      <w:tr>
        <w:trPr>
          <w:cantSplit w:val="true"/>
        </w:trPr>
        <w:tc>
          <w:tcPr>
            <w:tcW w:type="dxa" w:w="198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Randomised controlled trial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55F56"/>
                <w:sz w:val="18"/>
              </w:rPr>
              <w:t>RoB 2</w:t>
            </w:r>
          </w:p>
        </w:tc>
        <w:tc>
          <w:tcPr>
            <w:tcW w:type="dxa" w:w="396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Bias from randomisation, deviations from intended interventions, missing outcome data, outcome measurement and selection of the reported result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Cochrane, riskofbias.info</w:t>
            </w:r>
          </w:p>
        </w:tc>
      </w:tr>
      <w:tr>
        <w:trPr>
          <w:cantSplit w:val="true"/>
        </w:trPr>
        <w:tc>
          <w:tcPr>
            <w:tcW w:type="dxa" w:w="198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Non-randomised study of an intervention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55F56"/>
                <w:sz w:val="18"/>
              </w:rPr>
              <w:t>ROBINS-I</w:t>
            </w:r>
          </w:p>
        </w:tc>
        <w:tc>
          <w:tcPr>
            <w:tcW w:type="dxa" w:w="396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Confounding, selection of participants, classification of interventions, deviations, missing data, measurement and reporting, judged against an ideal “target trial”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Cochrane, riskofbias.info</w:t>
            </w:r>
          </w:p>
        </w:tc>
      </w:tr>
      <w:tr>
        <w:trPr>
          <w:cantSplit w:val="true"/>
        </w:trPr>
        <w:tc>
          <w:tcPr>
            <w:tcW w:type="dxa" w:w="198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Cohort and case-control (exposures)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55F56"/>
                <w:sz w:val="18"/>
              </w:rPr>
              <w:t>Newcastle–Ottawa Scale</w:t>
            </w:r>
            <w:r>
              <w:rPr>
                <w:sz w:val="18"/>
              </w:rPr>
              <w:t xml:space="preserve"> or </w:t>
            </w:r>
            <w:r>
              <w:rPr>
                <w:b/>
                <w:color w:val="055F56"/>
                <w:sz w:val="18"/>
              </w:rPr>
              <w:t>ROBINS-E</w:t>
            </w:r>
          </w:p>
        </w:tc>
        <w:tc>
          <w:tcPr>
            <w:tcW w:type="dxa" w:w="396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NOS: stars for selection of groups, comparability (confounding) and outcome/exposure ascertainment. ROBINS-E: the ROBINS-I domains, for exposures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Ottawa Hospital Research Institute, ohri.ca; riskofbias.info</w:t>
            </w:r>
          </w:p>
        </w:tc>
      </w:tr>
      <w:tr>
        <w:trPr>
          <w:cantSplit w:val="true"/>
        </w:trPr>
        <w:tc>
          <w:tcPr>
            <w:tcW w:type="dxa" w:w="198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Diagnostic accuracy study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b/>
                <w:color w:val="055F56"/>
                <w:sz w:val="18"/>
              </w:rPr>
              <w:t>QUADAS-2</w:t>
            </w:r>
          </w:p>
        </w:tc>
        <w:tc>
          <w:tcPr>
            <w:tcW w:type="dxa" w:w="396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Patient selection, index test, reference standard, flow and timing: risk of bias AND applicability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University of Bristol, bristol.ac.uk (QUADAS)</w:t>
            </w:r>
          </w:p>
        </w:tc>
      </w:tr>
      <w:tr>
        <w:trPr>
          <w:cantSplit w:val="true"/>
        </w:trPr>
        <w:tc>
          <w:tcPr>
            <w:tcW w:type="dxa" w:w="198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8"/>
              </w:rPr>
              <w:t>Systematic review / meta-analysis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55F56"/>
                <w:sz w:val="18"/>
              </w:rPr>
              <w:t>AMSTAR 2</w:t>
            </w:r>
          </w:p>
        </w:tc>
        <w:tc>
          <w:tcPr>
            <w:tcW w:type="dxa" w:w="396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16 items: protocol registered in advance, comprehensive search, risk-of-bias assessment of included studies, appropriate meta-analysis, publication bias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8"/>
              </w:rPr>
              <w:t>amstar.ca</w:t>
            </w:r>
          </w:p>
        </w:tc>
      </w:tr>
      <w:tr>
        <w:trPr>
          <w:cantSplit w:val="true"/>
        </w:trPr>
        <w:tc>
          <w:tcPr>
            <w:tcW w:type="dxa" w:w="198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8"/>
              </w:rPr>
              <w:t>Qualitative study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55F56"/>
                <w:sz w:val="18"/>
              </w:rPr>
              <w:t>CASP Qualitative Checklist</w:t>
            </w:r>
          </w:p>
        </w:tc>
        <w:tc>
          <w:tcPr>
            <w:tcW w:type="dxa" w:w="396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10 questions: clear aims, appropriate method and design, recruitment, data collection, researcher relationship (reflexivity), ethics, rigour of analysis, findings, value</w:t>
            </w:r>
          </w:p>
        </w:tc>
        <w:tc>
          <w:tcPr>
            <w:tcW w:type="dxa" w:w="18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Critical Appraisal Skills Programme, casp-uk.net</w:t>
            </w:r>
          </w:p>
        </w:tc>
      </w:tr>
    </w:tbl>
    <w:p>
      <w:pPr>
        <w:spacing w:after="0" w:line="120" w:lineRule="exact"/>
      </w:pPr>
    </w:p>
    <w:p>
      <w:pPr>
        <w:pStyle w:val="NeudataSmall"/>
      </w:pPr>
      <w:r>
        <w:t>Other designs: PROBAST for prediction models, and the JBI critical appraisal checklists (jbi.global) for cross-sectional studies and case series. All tools above are free to download; check the source for the latest version and its guidance document.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24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Foundations of Clinical Research  ·  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t xml:space="preserve">Page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of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Risk-of-bias tool chooser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20" w:after="100"/>
      <w:outlineLvl w:val="0"/>
    </w:pPr>
    <w:rPr>
      <w:rFonts w:ascii="Century Gothic" w:hAnsi="Century Gothic" w:cs="Century Gothic" w:eastAsia="Century Gothic"/>
      <w:b/>
      <w:bCs/>
      <w:i w:val="0"/>
      <w:color w:val="04242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Century Gothic" w:hAnsi="Century Gothic" w:cs="Century Gothic" w:eastAsia="Century Gothic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="Century Gothic" w:hAnsi="Century Gothic" w:cs="Century Gothic" w:eastAsia="Century Gothic"/>
      <w:b/>
      <w:bCs/>
      <w:i w:val="0"/>
      <w:color w:val="055F5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entury Gothic" w:hAnsi="Century Gothic" w:cs="Century Gothic" w:eastAsia="Century Gothic"/>
      <w:b/>
      <w:color w:val="0424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="Century Gothic" w:hAnsi="Century Gothic" w:cs="Century Gothic" w:eastAsia="Century Gothic"/>
      <w:b w:val="0"/>
      <w:i w:val="0"/>
      <w:iCs/>
      <w:color w:val="055F5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Guidance">
    <w:name w:val="Guidance"/>
    <w:basedOn w:val="Normal"/>
    <w:pPr>
      <w:keepNext/>
      <w:spacing w:after="80"/>
    </w:pPr>
    <w:rPr>
      <w:rFonts w:ascii="Arial" w:hAnsi="Arial" w:cs="Arial" w:eastAsia="Arial"/>
      <w:i/>
      <w:color w:val="6B7B84"/>
      <w:sz w:val="19"/>
    </w:rPr>
  </w:style>
  <w:style w:type="paragraph" w:customStyle="1" w:styleId="Example">
    <w:name w:val="Example"/>
    <w:basedOn w:val="Normal"/>
    <w:pPr>
      <w:pBdr>
        <w:left w:val="single" w:sz="24" w:space="8" w:color="9FD3CB"/>
      </w:pBdr>
      <w:shd w:val="clear" w:color="auto" w:fill="F3F8F7"/>
      <w:spacing w:after="120"/>
      <w:ind w:left="198"/>
    </w:pPr>
    <w:rPr>
      <w:rFonts w:ascii="Arial" w:hAnsi="Arial" w:cs="Arial" w:eastAsia="Arial"/>
      <w:i/>
      <w:color w:val="6B7B84"/>
      <w:sz w:val="19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Risk-of-bias tool chooser</dc:title>
  <dc:subject>Design-to-tool table</dc:subject>
  <dc:creator>Neudata Consulting Ltd</dc:creator>
  <cp:keywords/>
  <dc:description>Generated by Course/Templates/build_documents.py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