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

<Relationships  xmlns="http://schemas.openxmlformats.org/package/2006/relationships">
<Relationship Id="rId3" Type="http://schemas.openxmlformats.org/officeDocument/2006/relationships/extended-properties" Target="docProps/app.xml"/>
<Relationship Id="rId2" Type="http://schemas.openxmlformats.org/package/2006/relationships/metadata/core-properties" Target="docProps/core.xml"/>
<Relationship Id="rId1" Type="http://schemas.openxmlformats.org/officeDocument/2006/relationships/officeDocument" Target="word/document.xml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36"/>
          <w:szCs w:val="36"/>
          <w:color w:val="0D7377"/>
        </w:rPr>
        <w:t xml:space="preserve">Results pack Q1: Positive fluid balance and 28-day mortality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8"/>
          <w:szCs w:val="18"/>
          <w:color w:val="8A99A3"/>
        </w:rPr>
        <w:t xml:space="preserve">FLUID-ICU is a SIMULATED dataset made for teaching. No real patients. Neudata | Foundations of Clinical Research, Level 1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/>
      </w:r>
      <w:r>
        <w:rPr>
          <w:rFonts w:ascii="Arial" w:hAnsi="Arial" w:eastAsia="Arial" w:cs="Arial"/>
          <w:i w:val="false"/>
          <w:b w:val="true"/>
          <w:u w:val="none"/>
          <w:strike w:val="false"/>
          <w:sz w:val="21"/>
          <w:szCs w:val="21"/>
          <w:color w:val="000000"/>
        </w:rPr>
        <w:t xml:space="preserve">SIMULATED DATA: NOT REAL PATIENTS.</w:t>
      </w: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 FLUID-ICU was generated by computer for this course. Write your manuscript as a training exercise and state clearly that the data are simulated.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1. The question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/>
      </w:r>
      <w:r>
        <w:rPr>
          <w:rFonts w:ascii="Arial" w:hAnsi="Arial" w:eastAsia="Arial" w:cs="Arial"/>
          <w:i w:val="false"/>
          <w:b w:val="true"/>
          <w:u w:val="none"/>
          <w:strike w:val="false"/>
          <w:sz w:val="21"/>
          <w:szCs w:val="21"/>
          <w:color w:val="000000"/>
        </w:rPr>
        <w:t xml:space="preserve">In adults with sepsis in the ICU, is a positive cumulative fluid balance by day 3 associated with higher 28-day mortality?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2. Design and data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Design: multicentre prospective cohort study (observational).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Setting: 4 ICUs (ICU A-D), consecutive adults with sepsis, enrolment January 2023 to December 2024.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Exposure: positive cumulative fluid balance at day 3 (fluid in minus fluid out over ICU days 1-3 &gt; 0 ml/kg) vs negative or zero balance.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Outcome: death from any cause within 28 days of ICU admission (died_28d); time to death for survival analysis (time_to_event_28d, censored at day 28).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Analysis sample: 618 of 620 patients (2 without a day-3 balance). Adjusted models: 527 complete cases.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Pre-specified confounders (SAP): age, SOFA score, lactate, vasopressor, mechanical ventilation, chronic kidney disease.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Software: R 4.6 (packages gtsummary, survival, mice). Scripts: Course/Data/R/.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Participant flow: 620 patients enrolled -&gt; 2 without a day-3 fluid balance (weight or output missing after cleaning) -&gt; 618 in the exposure analysis -&gt; 91 without lactate (or age) -&gt; 527 in the complete-case adjusted model.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3. Table 1: who was studied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16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Table 1. Baseline characteristics by fluid-balance group</w:t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3382"/>
        <w:gridCol w:w="1658"/>
        <w:gridCol w:w="2330"/>
        <w:gridCol w:w="2257"/>
      </w:tblGrid>
      <w:tr>
        <w:trPr>
          <w:trHeight w:val="902" w:hRule="auto"/>
          <w:tblHeader/>
        </w:trPr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Overall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br/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 = 618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Negative balance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br/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 = 245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Positive balance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br/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 = 373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Age, years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62.6 (15.2)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64.6 (15.0)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61.4 (15.2)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Missing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Female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243 (39%)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102 (42%)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141 (38%)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375 (61%)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143 (58%)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232 (62%)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Weight, kg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64.7 (11.9)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65.1 (12.4)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64.4 (11.6)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Diabetes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158 (26%)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70 (29%)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88 (24%)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Chronic kidney disease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64 (10%)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28 (11%)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36 (9.7%)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Heart failure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97 (16%)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54 (22%)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43 (12%)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Hypertension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282 (46%)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124 (51%)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158 (42%)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Source of infection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Respiratory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267 (43%)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101 (41%)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166 (45%)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Urinary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126 (20%)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54 (22%)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72 (19%)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Abdominal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106 (17%)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46 (19%)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60 (16%)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Skin/soft tissue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57 (9.2%)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18 (7.3%)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39 (10%)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Other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62 (10%)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26 (11%)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36 (9.7%)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SOFA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 (5, 9)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 (4, 8)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8 (6, 10)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APACHE II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19 (15, 24)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17 (12, 21)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20 (17, 25)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Missing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Lactate, mmol/L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2.6 (1.7, 3.7)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2.2 (1.4, 3.0)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2.9 (1.9, 4.0)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Missing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41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Mean arterial pressure, mmHg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73 (66, 80)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76 (70, 84)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71 (65, 78)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Missing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Vasopressor on admission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266 (43%)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61 (25%)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205 (55%)</w:t>
            </w:r>
          </w:p>
        </w:tc>
      </w:tr>
      <w:tr>
        <w:trPr>
          <w:trHeight w:val="623" w:hRule="auto"/>
        </w:trPr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Mechanical ventilation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313 (51%)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97 (40%)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216 (58%)</w:t>
            </w:r>
          </w:p>
        </w:tc>
      </w:tr>
      <w:tr>
        <w:trPr>
          <w:trHeight w:val="360" w:hRule="auto"/>
        </w:trPr>
        <w:tc>
          <w:tcPr>
            <w:gridSpan w:val="4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Mean (SD); n (%); Median (Q1, Q3)</w:t>
            </w:r>
          </w:p>
        </w:tc>
      </w:tr>
    </w:tbl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7"/>
          <w:szCs w:val="17"/>
          <w:color w:val="000000"/>
        </w:rPr>
        <w:t xml:space="preserve">Mean (SD); n (%); median (Q1, Q3). Missing = number of patients without that value.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Read Table 1 first: the positive-balance group was </w:t>
      </w:r>
      <w:r>
        <w:rPr>
          <w:rFonts w:ascii="Arial" w:hAnsi="Arial" w:eastAsia="Arial" w:cs="Arial"/>
          <w:i w:val="false"/>
          <w:b w:val="true"/>
          <w:u w:val="none"/>
          <w:strike w:val="false"/>
          <w:sz w:val="21"/>
          <w:szCs w:val="21"/>
          <w:color w:val="000000"/>
        </w:rPr>
        <w:t xml:space="preserve">sicker</w:t>
      </w: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 at baseline: median SOFA 8 (6 to 10) vs 6 (4 to 8), vasopressor 205/373 (55.0%) vs 61/245 (24.9%). This is confounding by indication: sicker patients receive more fluid AND die more.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4. Main results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16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Table 2. 28-day mortality by fluid-balance group (unadjusted)</w:t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590" w:hRule="auto"/>
          <w:tblHeader/>
        </w:trPr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Outcome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Negative balance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Positive balance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Effect (95% CI)</w:t>
            </w:r>
          </w:p>
        </w:tc>
      </w:tr>
      <w:tr>
        <w:trPr>
          <w:trHeight w:val="568" w:hRule="auto"/>
        </w:trPr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Died by day 28, n/N (%)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45/245 (18.4%)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134/373 (35.9%)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Risk difference 17.6 (95% CI 10.7 to 24.4); RR 1.96</w:t>
            </w:r>
          </w:p>
        </w:tc>
      </w:tr>
      <w:tr>
        <w:trPr>
          <w:trHeight w:val="582" w:hRule="auto"/>
        </w:trPr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Survival at day 28 (Kaplan-Meier), %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81.6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64.1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Log-rank p &lt;0.001</w:t>
            </w:r>
          </w:p>
        </w:tc>
      </w:tr>
    </w:tbl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16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Table 3. Logistic regression for 28-day death: crude and adjusted odds ratios (adjusted model n = 527)</w:t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590" w:hRule="auto"/>
          <w:tblHeader/>
        </w:trPr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Variable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Crude OR (95% CI)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Crude p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Adjusted OR (95% CI)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Adjusted p</w:t>
            </w:r>
          </w:p>
        </w:tc>
      </w:tr>
      <w:tr>
        <w:trPr>
          <w:trHeight w:val="568" w:hRule="auto"/>
        </w:trPr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Positive fluid balance (vs negative)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2.49 (1.70 to 3.70)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1.62 (1.02 to 2.59)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0.044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Age, per year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1.02 (1.01 to 1.03)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1.02 (1.01 to 1.04)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0.002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SOFA score, per point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1.26 (1.18 to 1.35)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1.10 (1.01 to 1.21)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0.039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Lactate, per mmol/L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1.38 (1.23 to 1.55)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1.15 (1.00 to 1.32)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0.059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Vasopressor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3.31 (2.31 to 4.78)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1.86 (1.20 to 2.88)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0.005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Mechanical ventilation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2.98 (2.07 to 4.34)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1.69 (1.11 to 2.60)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0.016</w:t>
            </w:r>
          </w:p>
        </w:tc>
      </w:tr>
      <w:tr>
        <w:trPr>
          <w:trHeight w:val="582" w:hRule="auto"/>
        </w:trPr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Chronic kidney disease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2.58 (1.52 to 4.36)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1.85 (1.00 to 3.44)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0.050</w:t>
            </w:r>
          </w:p>
        </w:tc>
      </w:tr>
    </w:tbl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Crude OR (all 618 patients): </w:t>
      </w:r>
      <w:r>
        <w:rPr>
          <w:rFonts w:ascii="Arial" w:hAnsi="Arial" w:eastAsia="Arial" w:cs="Arial"/>
          <w:i w:val="false"/>
          <w:b w:val="true"/>
          <w:u w:val="none"/>
          <w:strike w:val="false"/>
          <w:sz w:val="21"/>
          <w:szCs w:val="21"/>
          <w:color w:val="000000"/>
        </w:rPr>
        <w:t xml:space="preserve">2.49 (95% CI 1.70 to 3.70)</w:t>
      </w: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, p &lt;0.001.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Crude OR in the same 527 complete cases: 2.22 (95% CI 1.48 to 3.39).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Adjusted OR (age, SOFA, lactate, vasopressor, ventilation, CKD): </w:t>
      </w:r>
      <w:r>
        <w:rPr>
          <w:rFonts w:ascii="Arial" w:hAnsi="Arial" w:eastAsia="Arial" w:cs="Arial"/>
          <w:i w:val="false"/>
          <w:b w:val="true"/>
          <w:u w:val="none"/>
          <w:strike w:val="false"/>
          <w:sz w:val="21"/>
          <w:szCs w:val="21"/>
          <w:color w:val="000000"/>
        </w:rPr>
        <w:t xml:space="preserve">1.62 (95% CI 1.02 to 2.59)</w:t>
      </w: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, p 0.044.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Kaplan-Meier survival at day 28: 81.6% (negative) vs 64.1% (positive); log-rank p &lt;0.001.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Cox hazard ratio: crude 2.17 (95% CI 1.55 to 3.05); adjusted </w:t>
      </w:r>
      <w:r>
        <w:rPr>
          <w:rFonts w:ascii="Arial" w:hAnsi="Arial" w:eastAsia="Arial" w:cs="Arial"/>
          <w:i w:val="false"/>
          <w:b w:val="true"/>
          <w:u w:val="none"/>
          <w:strike w:val="false"/>
          <w:sz w:val="21"/>
          <w:szCs w:val="21"/>
          <w:color w:val="000000"/>
        </w:rPr>
        <w:t xml:space="preserve">1.46 (95% CI 1.00 to 2.13)</w:t>
      </w: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, p 0.053 (proportional-hazards test, global p = 0.10).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16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Table 4. Cox regression for time to death within 28 days</w:t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590" w:hRule="auto"/>
          <w:tblHeader/>
        </w:trPr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Model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Events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HR (95% CI)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p</w:t>
            </w:r>
          </w:p>
        </w:tc>
      </w:tr>
      <w:tr>
        <w:trPr>
          <w:trHeight w:val="568" w:hRule="auto"/>
        </w:trPr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Crude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618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179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2.17 (1.55 to 3.05)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</w:tr>
      <w:tr>
        <w:trPr>
          <w:trHeight w:val="582" w:hRule="auto"/>
        </w:trPr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Adjusted (pre-specified confounders)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527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161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1.46 (1.00 to 2.13)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0.053</w:t>
            </w:r>
          </w:p>
        </w:tc>
      </w:tr>
    </w:tbl>
    <w:p>
      <w:pPr>
        <w:pStyle w:val="Normal"/>
      </w:pPr>
      <w:r>
        <w:rPr/>
        <w:drawing>
          <wp:inline distT="0" distB="0" distL="0" distR="0">
            <wp:extent cx="5760720" cy="4526280"/>
            <wp:docPr id="1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26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8"/>
          <w:szCs w:val="18"/>
          <w:color w:val="000000"/>
        </w:rPr>
        <w:t xml:space="preserve">Figure 1. Kaplan-Meier survival to day 28 by fluid-balance group, with numbers at risk</w:t>
      </w:r>
    </w:p>
    <w:p>
      <w:pPr>
        <w:pStyle w:val="Normal"/>
      </w:pPr>
      <w:r>
        <w:rPr/>
        <w:drawing>
          <wp:inline distT="0" distB="0" distL="0" distR="0">
            <wp:extent cx="5760720" cy="3703320"/>
            <wp:docPr id="3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03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8"/>
          <w:szCs w:val="18"/>
          <w:color w:val="000000"/>
        </w:rPr>
        <w:t xml:space="preserve">Figure 2. Adjusted odds ratios for 28-day death (forest plot)</w:t>
      </w:r>
    </w:p>
    <w:p>
      <w:pPr>
        <w:pStyle w:val="Normal"/>
      </w:pPr>
      <w:r>
        <w:rPr/>
        <w:drawing>
          <wp:inline distT="0" distB="0" distL="0" distR="0">
            <wp:extent cx="5760720" cy="3127248"/>
            <wp:docPr id="5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272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8"/>
          <w:szCs w:val="18"/>
          <w:color w:val="000000"/>
        </w:rPr>
        <w:t xml:space="preserve">Figure 3. The odds ratio for positive balance before and after adjustment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5. Other analyses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16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Table 5. Pre-specified effect modification by heart failure</w:t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590" w:hRule="auto"/>
          <w:tblHeader/>
        </w:trPr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Subgroup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Deaths, negative balance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Deaths, positive balance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Adjusted OR (95% CI)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p for interaction</w:t>
            </w:r>
          </w:p>
        </w:tc>
      </w:tr>
      <w:tr>
        <w:trPr>
          <w:trHeight w:val="568" w:hRule="auto"/>
        </w:trPr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No heart failure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34/191 (18%)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108/330 (33%)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1.29 (0.77 to 2.19)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0.031</w:t>
            </w:r>
          </w:p>
        </w:tc>
      </w:tr>
      <w:tr>
        <w:trPr>
          <w:trHeight w:val="582" w:hRule="auto"/>
        </w:trPr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Heart failure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11/54 (20%)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26/43 (60%)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4.39 (1.65 to 12.38)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0.031</w:t>
            </w:r>
          </w:p>
        </w:tc>
      </w:tr>
    </w:tbl>
    <w:p>
      <w:pPr>
        <w:pStyle w:val="Normal"/>
      </w:pPr>
      <w:r>
        <w:rPr/>
        <w:drawing>
          <wp:inline distT="0" distB="0" distL="0" distR="0">
            <wp:extent cx="5760720" cy="2633472"/>
            <wp:docPr id="7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334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8"/>
          <w:szCs w:val="18"/>
          <w:color w:val="000000"/>
        </w:rPr>
        <w:t xml:space="preserve">Figure 4. Odds ratio for positive balance in patients with and without heart failure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16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Table 6. Sensitivity analyses for the primary association</w:t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590" w:hRule="auto"/>
          <w:tblHeader/>
        </w:trPr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Analysis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OR (95% CI)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p</w:t>
            </w:r>
          </w:p>
        </w:tc>
      </w:tr>
      <w:tr>
        <w:trPr>
          <w:trHeight w:val="568" w:hRule="auto"/>
        </w:trPr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Crude, all patients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618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2.49 (1.70 to 3.70)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Crude, complete cases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527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2.22 (1.48 to 3.39)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Adjusted, complete cases (main)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527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1.62 (1.02 to 2.59)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0.044</w:t>
            </w:r>
          </w:p>
        </w:tc>
      </w:tr>
      <w:tr>
        <w:trPr>
          <w:trHeight w:val="582" w:hRule="auto"/>
        </w:trPr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Adjusted, multiple imputation (m = 20)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620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1.70 (1.09 to 2.64)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0.020</w:t>
            </w:r>
          </w:p>
        </w:tc>
      </w:tr>
    </w:tbl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6. What this means (plain language)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Patients with a positive fluid balance died more often (36% vs 18%). But they were also sicker.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After taking severity into account, the association became much smaller (OR fell from 2.49 to 1.62). Much of the crude difference was confounding by indication.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A modest association remained: the 95% CI only just excludes 1, and the Cox model gives a similar HR whose CI just touches 1. The evidence is weak-to-moderate, not strong.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The association looked stronger in patients with heart failure (p for interaction 0.031). This was pre-specified but is based on only 90 patients with heart failure, so treat it as a hypothesis.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7. What this does NOT mean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 does NOT show that fluid CAUSES death. This is an observational study: write 'associated with', not 'caused' or 'increased'.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 does NOT tell clinicians to restrict fluid. Only a randomised trial (like Paper 1) can test a fluid strategy.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A p-value of 0.044 is not 'proof'; a CI from 1.02 to 2.59 is compatible with a tiny or a large effect.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8. Limitations to discuss (hints)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Residual confounding: SOFA and lactate measure severity imperfectly; unmeasured severity may explain the remaining association.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Reverse causation: patients who do badly (shock, oliguria) accumulate fluid because they are dying, not the other way round.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Fluid balance is measured over days 1-3; patients who died before day 3 had less time to accumulate fluid (immortal-time issue).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Missing lactate (15%): the complete-case model lost 91 patients; multiple imputation gave a similar answer (Table 6).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Insensible losses are not recorded; the dichotomy positive/negative throws away information (see Q2 for the continuous version).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Which STROBE items this pack helps you write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4-5: design and setting (section 2)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6: participants and eligibility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7: variables (exposure, outcome, confounders and the effect modifier, heart failure)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12a-e: statistical methods incl. confounding, interaction, missing data, sensitivity analyses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13: participant numbers (flow sentence)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14: descriptive data (Table 1, missing data)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15: outcome data (Table 2)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16: unadjusted and adjusted estimates with 95% CI (Tables 3-4)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17: other analyses (subgroup/interaction and sensitivity, Tables 5-6)</w:t>
      </w:r>
    </w:p>
    <w:sectPr w:rsidR="001379F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
<Relationships  xmlns="http://schemas.openxmlformats.org/package/2006/relationships">
<Relationship Id="rId3" Type="http://schemas.openxmlformats.org/officeDocument/2006/relationships/settings" Target="settings.xml"/>
<Relationship Id="rId2" Type="http://schemas.openxmlformats.org/officeDocument/2006/relationships/styles" Target="styles.xml"/>
<Relationship Id="rId1" Type="http://schemas.openxmlformats.org/officeDocument/2006/relationships/numbering" Target="numbering.xml"/>
<Relationship Id="rId6" Type="http://schemas.openxmlformats.org/officeDocument/2006/relationships/theme" Target="theme/theme1.xml"/>
<Relationship Id="rId5" Type="http://schemas.openxmlformats.org/officeDocument/2006/relationships/fontTable" Target="fontTable.xml"/>
<Relationship Id="rId4" Type="http://schemas.openxmlformats.org/officeDocument/2006/relationships/webSettings" Target="webSettings.xml"/>
<Relationship Id="rId7" Type="http://schemas.openxmlformats.org/officeDocument/2006/relationships/image" Target="media/4a96c912d5534a4c142ca5272bb9686e323e9979.png"/>
<Relationship Id="rId8" Type="http://schemas.openxmlformats.org/officeDocument/2006/relationships/image" Target="media/ba4de8bcad4a4549d318f9e2f1ddef7d1f7f5cd3.png"/>
<Relationship Id="rId9" Type="http://schemas.openxmlformats.org/officeDocument/2006/relationships/image" Target="media/d26676a7de875743aa4991b7ac9a5610fad396b3.png"/>
<Relationship Id="rId10" Type="http://schemas.openxmlformats.org/officeDocument/2006/relationships/image" Target="media/1f87b3f82bc649ce885a55399fa3e4872870c5b0.png"/>
</Relationships>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/>
  <cp:revision>9</cp:revision>
  <dcterms:created xsi:type="dcterms:W3CDTF">2017-02-28T11:18:00Z</dcterms:created>
  <dcterms:modified xsi:type="dcterms:W3CDTF">2026-10-19T09:41:55Z</dcterms:modified>
  <cp:category/>
</cp:coreProperties>
</file>